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00C6" w14:textId="77777777" w:rsidR="00072012" w:rsidRPr="005B56DA" w:rsidRDefault="00550F86" w:rsidP="00072012">
      <w:pPr>
        <w:rPr>
          <w:rFonts w:cstheme="minorHAnsi"/>
          <w:b/>
        </w:rPr>
      </w:pPr>
      <w:r w:rsidRPr="005B56DA">
        <w:rPr>
          <w:rFonts w:cstheme="minorHAnsi"/>
          <w:b/>
          <w:noProof/>
          <w:lang w:eastAsia="en-GB"/>
        </w:rPr>
        <w:drawing>
          <wp:anchor distT="0" distB="0" distL="114300" distR="114300" simplePos="0" relativeHeight="251658240" behindDoc="1" locked="0" layoutInCell="1" allowOverlap="1" wp14:anchorId="29CF2904" wp14:editId="0B653BF9">
            <wp:simplePos x="0" y="0"/>
            <wp:positionH relativeFrom="margin">
              <wp:align>left</wp:align>
            </wp:positionH>
            <wp:positionV relativeFrom="paragraph">
              <wp:posOffset>-831644</wp:posOffset>
            </wp:positionV>
            <wp:extent cx="1840865" cy="55499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554990"/>
                    </a:xfrm>
                    <a:prstGeom prst="rect">
                      <a:avLst/>
                    </a:prstGeom>
                    <a:noFill/>
                  </pic:spPr>
                </pic:pic>
              </a:graphicData>
            </a:graphic>
          </wp:anchor>
        </w:drawing>
      </w:r>
    </w:p>
    <w:p w14:paraId="08887CDB" w14:textId="64F47D07" w:rsidR="00072012" w:rsidRPr="00906254" w:rsidRDefault="00F8525D" w:rsidP="00752FAB">
      <w:pPr>
        <w:pStyle w:val="ListParagraph"/>
        <w:numPr>
          <w:ilvl w:val="0"/>
          <w:numId w:val="2"/>
        </w:numPr>
        <w:rPr>
          <w:rFonts w:cstheme="minorHAnsi"/>
          <w:b/>
          <w:sz w:val="24"/>
          <w:szCs w:val="24"/>
        </w:rPr>
      </w:pPr>
      <w:r w:rsidRPr="00906254">
        <w:rPr>
          <w:rFonts w:cstheme="minorHAnsi"/>
          <w:b/>
          <w:sz w:val="24"/>
          <w:szCs w:val="24"/>
        </w:rPr>
        <w:t>Context</w:t>
      </w:r>
    </w:p>
    <w:p w14:paraId="46E8A621" w14:textId="77777777" w:rsidR="00371128" w:rsidRPr="005B56DA" w:rsidRDefault="00371128" w:rsidP="00371128">
      <w:pPr>
        <w:pStyle w:val="ListParagraph"/>
        <w:ind w:left="360"/>
        <w:rPr>
          <w:rFonts w:cstheme="minorHAnsi"/>
          <w:b/>
        </w:rPr>
      </w:pPr>
    </w:p>
    <w:p w14:paraId="7C2FD30D" w14:textId="2F365EDA" w:rsidR="007C1CA4" w:rsidRDefault="00371128" w:rsidP="00371128">
      <w:pPr>
        <w:pStyle w:val="ListParagraph"/>
        <w:ind w:left="360"/>
        <w:rPr>
          <w:rFonts w:cstheme="minorHAnsi"/>
        </w:rPr>
      </w:pPr>
      <w:r w:rsidRPr="005B56DA">
        <w:rPr>
          <w:rFonts w:cstheme="minorHAnsi"/>
        </w:rPr>
        <w:t xml:space="preserve">This </w:t>
      </w:r>
      <w:r w:rsidR="0080007E" w:rsidRPr="005B56DA">
        <w:rPr>
          <w:rFonts w:cstheme="minorHAnsi"/>
        </w:rPr>
        <w:t>report</w:t>
      </w:r>
      <w:r w:rsidRPr="005B56DA">
        <w:rPr>
          <w:rFonts w:cstheme="minorHAnsi"/>
        </w:rPr>
        <w:t xml:space="preserve"> provides an overview of the University’s sustainability performance over the 202</w:t>
      </w:r>
      <w:r w:rsidR="003639A9">
        <w:rPr>
          <w:rFonts w:cstheme="minorHAnsi"/>
        </w:rPr>
        <w:t>2</w:t>
      </w:r>
      <w:r w:rsidRPr="005B56DA">
        <w:rPr>
          <w:rFonts w:cstheme="minorHAnsi"/>
        </w:rPr>
        <w:t>/2</w:t>
      </w:r>
      <w:r w:rsidR="003639A9">
        <w:rPr>
          <w:rFonts w:cstheme="minorHAnsi"/>
        </w:rPr>
        <w:t>3</w:t>
      </w:r>
      <w:r w:rsidRPr="005B56DA">
        <w:rPr>
          <w:rFonts w:cstheme="minorHAnsi"/>
        </w:rPr>
        <w:t xml:space="preserve"> academic year. </w:t>
      </w:r>
      <w:r w:rsidR="00F8525D" w:rsidRPr="005B56DA">
        <w:rPr>
          <w:rFonts w:cstheme="minorHAnsi"/>
        </w:rPr>
        <w:t xml:space="preserve">We note that during this year, there has been </w:t>
      </w:r>
      <w:r w:rsidR="007523E6">
        <w:rPr>
          <w:rFonts w:cstheme="minorHAnsi"/>
        </w:rPr>
        <w:t xml:space="preserve">the resolution of </w:t>
      </w:r>
      <w:r w:rsidR="00F8525D" w:rsidRPr="005B56DA">
        <w:rPr>
          <w:rFonts w:cstheme="minorHAnsi"/>
        </w:rPr>
        <w:t xml:space="preserve">significant changes to the governance of sustainability at the University, with the </w:t>
      </w:r>
      <w:r w:rsidR="007523E6">
        <w:rPr>
          <w:rFonts w:cstheme="minorHAnsi"/>
        </w:rPr>
        <w:t xml:space="preserve">arrival of Martin Wiles (from the University of Bristol) </w:t>
      </w:r>
      <w:r w:rsidR="000E10E6">
        <w:rPr>
          <w:rFonts w:cstheme="minorHAnsi"/>
        </w:rPr>
        <w:t xml:space="preserve">as the new </w:t>
      </w:r>
      <w:r w:rsidR="00F8525D" w:rsidRPr="005B56DA">
        <w:rPr>
          <w:rFonts w:cstheme="minorHAnsi"/>
        </w:rPr>
        <w:t>Head of Sustainability</w:t>
      </w:r>
      <w:r w:rsidR="000E10E6">
        <w:rPr>
          <w:rFonts w:cstheme="minorHAnsi"/>
        </w:rPr>
        <w:t xml:space="preserve"> in February 2023</w:t>
      </w:r>
      <w:r w:rsidR="00F8525D" w:rsidRPr="005B56DA">
        <w:rPr>
          <w:rFonts w:cstheme="minorHAnsi"/>
        </w:rPr>
        <w:t xml:space="preserve"> and </w:t>
      </w:r>
      <w:r w:rsidR="000E10E6">
        <w:rPr>
          <w:rFonts w:cstheme="minorHAnsi"/>
        </w:rPr>
        <w:t xml:space="preserve">the </w:t>
      </w:r>
      <w:r w:rsidR="00A74CA8">
        <w:rPr>
          <w:rFonts w:cstheme="minorHAnsi"/>
        </w:rPr>
        <w:t>appointment of Prof Bob Nichol as</w:t>
      </w:r>
      <w:r w:rsidR="00F8525D" w:rsidRPr="005B56DA">
        <w:rPr>
          <w:rFonts w:cstheme="minorHAnsi"/>
        </w:rPr>
        <w:t xml:space="preserve"> EB lead on Sustainability. </w:t>
      </w:r>
    </w:p>
    <w:p w14:paraId="50AC8D5F" w14:textId="77777777" w:rsidR="008A5FCC" w:rsidRDefault="008A5FCC" w:rsidP="00371128">
      <w:pPr>
        <w:pStyle w:val="ListParagraph"/>
        <w:ind w:left="360"/>
        <w:rPr>
          <w:rFonts w:cstheme="minorHAnsi"/>
        </w:rPr>
      </w:pPr>
    </w:p>
    <w:p w14:paraId="68E8746F" w14:textId="661523CB" w:rsidR="008A5FCC" w:rsidRPr="008A5FCC" w:rsidRDefault="008A5FCC" w:rsidP="008A5FCC">
      <w:pPr>
        <w:pStyle w:val="ListParagraph"/>
        <w:numPr>
          <w:ilvl w:val="0"/>
          <w:numId w:val="2"/>
        </w:numPr>
        <w:rPr>
          <w:rFonts w:cstheme="minorHAnsi"/>
          <w:b/>
          <w:bCs/>
        </w:rPr>
      </w:pPr>
      <w:r w:rsidRPr="008A5FCC">
        <w:rPr>
          <w:rFonts w:cstheme="minorHAnsi"/>
          <w:b/>
          <w:bCs/>
        </w:rPr>
        <w:t>Executive Summary</w:t>
      </w:r>
    </w:p>
    <w:p w14:paraId="4A3756BA" w14:textId="47CD1090" w:rsidR="008A5FCC" w:rsidRDefault="00052955" w:rsidP="008A5FCC">
      <w:pPr>
        <w:pStyle w:val="ListParagraph"/>
        <w:numPr>
          <w:ilvl w:val="0"/>
          <w:numId w:val="36"/>
        </w:numPr>
        <w:rPr>
          <w:rFonts w:cstheme="minorHAnsi"/>
        </w:rPr>
      </w:pPr>
      <w:r>
        <w:rPr>
          <w:rFonts w:cstheme="minorHAnsi"/>
        </w:rPr>
        <w:t>46</w:t>
      </w:r>
      <w:r w:rsidRPr="00052955">
        <w:rPr>
          <w:rFonts w:cstheme="minorHAnsi"/>
          <w:vertAlign w:val="superscript"/>
        </w:rPr>
        <w:t>th</w:t>
      </w:r>
      <w:r>
        <w:rPr>
          <w:rFonts w:cstheme="minorHAnsi"/>
        </w:rPr>
        <w:t xml:space="preserve"> Globally in Times Higher SDG impact ranking.</w:t>
      </w:r>
    </w:p>
    <w:p w14:paraId="499FF9FC" w14:textId="3CB8795B" w:rsidR="00052955" w:rsidRDefault="00BD7F5C" w:rsidP="008A5FCC">
      <w:pPr>
        <w:pStyle w:val="ListParagraph"/>
        <w:numPr>
          <w:ilvl w:val="0"/>
          <w:numId w:val="36"/>
        </w:numPr>
        <w:rPr>
          <w:rFonts w:cstheme="minorHAnsi"/>
        </w:rPr>
      </w:pPr>
      <w:r>
        <w:rPr>
          <w:rFonts w:cstheme="minorHAnsi"/>
        </w:rPr>
        <w:t>Institute</w:t>
      </w:r>
      <w:r w:rsidR="00052955">
        <w:rPr>
          <w:rFonts w:cstheme="minorHAnsi"/>
        </w:rPr>
        <w:t xml:space="preserve"> for Sustainability launches </w:t>
      </w:r>
      <w:r>
        <w:rPr>
          <w:rFonts w:cstheme="minorHAnsi"/>
        </w:rPr>
        <w:t>collaborative Innovation Hub.</w:t>
      </w:r>
    </w:p>
    <w:p w14:paraId="0718FCE8" w14:textId="0C1471E7" w:rsidR="00BD7F5C" w:rsidRPr="00BD7F5C" w:rsidRDefault="00BD7F5C" w:rsidP="008A5FCC">
      <w:pPr>
        <w:pStyle w:val="ListParagraph"/>
        <w:numPr>
          <w:ilvl w:val="0"/>
          <w:numId w:val="36"/>
        </w:numPr>
        <w:rPr>
          <w:rFonts w:cstheme="minorHAnsi"/>
        </w:rPr>
      </w:pPr>
      <w:r>
        <w:rPr>
          <w:rFonts w:cstheme="minorHAnsi"/>
        </w:rPr>
        <w:t>Scope 1 &amp; 2 carbon emissions reduced by 24% to 14,975</w:t>
      </w:r>
      <w:r>
        <w:rPr>
          <w:rFonts w:cstheme="minorHAnsi"/>
          <w:color w:val="000000" w:themeColor="text1"/>
        </w:rPr>
        <w:t xml:space="preserve"> tCO</w:t>
      </w:r>
      <w:r w:rsidRPr="0010638A">
        <w:rPr>
          <w:rFonts w:cstheme="minorHAnsi"/>
          <w:color w:val="000000" w:themeColor="text1"/>
          <w:vertAlign w:val="subscript"/>
        </w:rPr>
        <w:t>2</w:t>
      </w:r>
      <w:r>
        <w:rPr>
          <w:rFonts w:cstheme="minorHAnsi"/>
          <w:color w:val="000000" w:themeColor="text1"/>
        </w:rPr>
        <w:t>e.</w:t>
      </w:r>
    </w:p>
    <w:p w14:paraId="17A5E398" w14:textId="0762563B" w:rsidR="00BD7F5C" w:rsidRPr="00BD7F5C" w:rsidRDefault="00BD7F5C" w:rsidP="008A5FCC">
      <w:pPr>
        <w:pStyle w:val="ListParagraph"/>
        <w:numPr>
          <w:ilvl w:val="0"/>
          <w:numId w:val="36"/>
        </w:numPr>
        <w:rPr>
          <w:rFonts w:cstheme="minorHAnsi"/>
        </w:rPr>
      </w:pPr>
      <w:r>
        <w:rPr>
          <w:rFonts w:cstheme="minorHAnsi"/>
          <w:color w:val="000000" w:themeColor="text1"/>
        </w:rPr>
        <w:t xml:space="preserve">Scope 3 Carbon Emissions measured at </w:t>
      </w:r>
      <w:r w:rsidRPr="003A235F">
        <w:rPr>
          <w:rFonts w:cstheme="minorHAnsi"/>
          <w:color w:val="000000" w:themeColor="text1"/>
        </w:rPr>
        <w:t>68,950 tCO</w:t>
      </w:r>
      <w:r w:rsidRPr="002E60F6">
        <w:rPr>
          <w:rFonts w:cstheme="minorHAnsi"/>
          <w:color w:val="000000" w:themeColor="text1"/>
          <w:vertAlign w:val="subscript"/>
        </w:rPr>
        <w:t>2</w:t>
      </w:r>
      <w:r w:rsidRPr="003A235F">
        <w:rPr>
          <w:rFonts w:cstheme="minorHAnsi"/>
          <w:color w:val="000000" w:themeColor="text1"/>
        </w:rPr>
        <w:t>e</w:t>
      </w:r>
      <w:r>
        <w:rPr>
          <w:rFonts w:cstheme="minorHAnsi"/>
          <w:color w:val="000000" w:themeColor="text1"/>
        </w:rPr>
        <w:t>.</w:t>
      </w:r>
    </w:p>
    <w:p w14:paraId="318104FE" w14:textId="471DAEF8" w:rsidR="00BD7F5C" w:rsidRDefault="00AF7D5C" w:rsidP="008A5FCC">
      <w:pPr>
        <w:pStyle w:val="ListParagraph"/>
        <w:numPr>
          <w:ilvl w:val="0"/>
          <w:numId w:val="36"/>
        </w:numPr>
        <w:rPr>
          <w:rFonts w:cstheme="minorHAnsi"/>
        </w:rPr>
      </w:pPr>
      <w:r>
        <w:rPr>
          <w:rFonts w:cstheme="minorHAnsi"/>
        </w:rPr>
        <w:t>Utility costs rise to £12miilion.</w:t>
      </w:r>
    </w:p>
    <w:p w14:paraId="7A54FA35" w14:textId="6696B8D2" w:rsidR="00AF7D5C" w:rsidRDefault="00AF7D5C" w:rsidP="008A5FCC">
      <w:pPr>
        <w:pStyle w:val="ListParagraph"/>
        <w:numPr>
          <w:ilvl w:val="0"/>
          <w:numId w:val="36"/>
        </w:numPr>
        <w:rPr>
          <w:rFonts w:cstheme="minorHAnsi"/>
        </w:rPr>
      </w:pPr>
      <w:r>
        <w:rPr>
          <w:rFonts w:cstheme="minorHAnsi"/>
        </w:rPr>
        <w:t>Launch of LEAF, Green impact initiatives</w:t>
      </w:r>
      <w:r w:rsidR="008252D1">
        <w:rPr>
          <w:rFonts w:cstheme="minorHAnsi"/>
        </w:rPr>
        <w:t xml:space="preserve"> and energy ‘switch’ off campaign.</w:t>
      </w:r>
    </w:p>
    <w:p w14:paraId="1C35AED5" w14:textId="1DDBD5C7" w:rsidR="00AF7D5C" w:rsidRDefault="008252D1" w:rsidP="008A5FCC">
      <w:pPr>
        <w:pStyle w:val="ListParagraph"/>
        <w:numPr>
          <w:ilvl w:val="0"/>
          <w:numId w:val="36"/>
        </w:numPr>
        <w:rPr>
          <w:rFonts w:cstheme="minorHAnsi"/>
        </w:rPr>
      </w:pPr>
      <w:r>
        <w:rPr>
          <w:rFonts w:cstheme="minorHAnsi"/>
        </w:rPr>
        <w:t>100% of waste diverted from landfill.</w:t>
      </w:r>
    </w:p>
    <w:p w14:paraId="2F374D74" w14:textId="411CC9AF" w:rsidR="008252D1" w:rsidRDefault="004B2405" w:rsidP="008A5FCC">
      <w:pPr>
        <w:pStyle w:val="ListParagraph"/>
        <w:numPr>
          <w:ilvl w:val="0"/>
          <w:numId w:val="36"/>
        </w:numPr>
        <w:rPr>
          <w:rFonts w:cstheme="minorHAnsi"/>
        </w:rPr>
      </w:pPr>
      <w:r>
        <w:rPr>
          <w:rFonts w:cstheme="minorHAnsi"/>
        </w:rPr>
        <w:t>Solar and Electric Vehicle charging projects progress.</w:t>
      </w:r>
    </w:p>
    <w:p w14:paraId="6CC50D06" w14:textId="77777777" w:rsidR="007D1CC8" w:rsidRPr="005B56DA" w:rsidRDefault="007D1CC8" w:rsidP="00371128">
      <w:pPr>
        <w:pStyle w:val="ListParagraph"/>
        <w:ind w:left="360"/>
        <w:rPr>
          <w:rFonts w:cstheme="minorHAnsi"/>
        </w:rPr>
      </w:pPr>
    </w:p>
    <w:p w14:paraId="2369119B" w14:textId="77777777" w:rsidR="009A4CFB" w:rsidRPr="005B56DA" w:rsidRDefault="009A4CFB" w:rsidP="009A4CFB">
      <w:pPr>
        <w:pStyle w:val="ListParagraph"/>
        <w:ind w:left="792"/>
        <w:rPr>
          <w:rFonts w:cstheme="minorHAnsi"/>
        </w:rPr>
      </w:pPr>
    </w:p>
    <w:p w14:paraId="65F326A5" w14:textId="79C471A5" w:rsidR="00F8525D" w:rsidRPr="00906254" w:rsidRDefault="00F8525D" w:rsidP="00136398">
      <w:pPr>
        <w:pStyle w:val="ListParagraph"/>
        <w:numPr>
          <w:ilvl w:val="0"/>
          <w:numId w:val="2"/>
        </w:numPr>
        <w:rPr>
          <w:rFonts w:cstheme="minorHAnsi"/>
          <w:b/>
          <w:bCs/>
          <w:sz w:val="24"/>
          <w:szCs w:val="24"/>
        </w:rPr>
      </w:pPr>
      <w:r w:rsidRPr="00906254">
        <w:rPr>
          <w:rFonts w:cstheme="minorHAnsi"/>
          <w:b/>
          <w:bCs/>
          <w:sz w:val="24"/>
          <w:szCs w:val="24"/>
        </w:rPr>
        <w:t>T</w:t>
      </w:r>
      <w:r w:rsidR="00076FF6" w:rsidRPr="00906254">
        <w:rPr>
          <w:rFonts w:cstheme="minorHAnsi"/>
          <w:b/>
          <w:bCs/>
          <w:sz w:val="24"/>
          <w:szCs w:val="24"/>
        </w:rPr>
        <w:t xml:space="preserve">imes </w:t>
      </w:r>
      <w:r w:rsidRPr="00906254">
        <w:rPr>
          <w:rFonts w:cstheme="minorHAnsi"/>
          <w:b/>
          <w:bCs/>
          <w:sz w:val="24"/>
          <w:szCs w:val="24"/>
        </w:rPr>
        <w:t>H</w:t>
      </w:r>
      <w:r w:rsidR="00076FF6" w:rsidRPr="00906254">
        <w:rPr>
          <w:rFonts w:cstheme="minorHAnsi"/>
          <w:b/>
          <w:bCs/>
          <w:sz w:val="24"/>
          <w:szCs w:val="24"/>
        </w:rPr>
        <w:t>igher Education Impact Ra</w:t>
      </w:r>
      <w:r w:rsidR="002A2A12" w:rsidRPr="00906254">
        <w:rPr>
          <w:rFonts w:cstheme="minorHAnsi"/>
          <w:b/>
          <w:bCs/>
          <w:sz w:val="24"/>
          <w:szCs w:val="24"/>
        </w:rPr>
        <w:t>n</w:t>
      </w:r>
      <w:r w:rsidR="00076FF6" w:rsidRPr="00906254">
        <w:rPr>
          <w:rFonts w:cstheme="minorHAnsi"/>
          <w:b/>
          <w:bCs/>
          <w:sz w:val="24"/>
          <w:szCs w:val="24"/>
        </w:rPr>
        <w:t>king</w:t>
      </w:r>
    </w:p>
    <w:p w14:paraId="7529C0DC" w14:textId="77777777" w:rsidR="00F8525D" w:rsidRPr="005B56DA" w:rsidRDefault="00F8525D" w:rsidP="007F7424">
      <w:pPr>
        <w:pStyle w:val="ListParagraph"/>
        <w:ind w:left="360"/>
        <w:rPr>
          <w:rFonts w:cstheme="minorHAnsi"/>
        </w:rPr>
      </w:pPr>
    </w:p>
    <w:p w14:paraId="4EA4B312" w14:textId="31E582F2" w:rsidR="00F8525D" w:rsidRPr="005B56DA" w:rsidRDefault="00A711F5" w:rsidP="007F7424">
      <w:pPr>
        <w:pStyle w:val="ListParagraph"/>
        <w:ind w:left="360"/>
        <w:rPr>
          <w:rFonts w:cstheme="minorHAnsi"/>
        </w:rPr>
      </w:pPr>
      <w:r>
        <w:rPr>
          <w:rFonts w:cstheme="minorHAnsi"/>
        </w:rPr>
        <w:t>T</w:t>
      </w:r>
      <w:r w:rsidR="00F8525D" w:rsidRPr="005B56DA">
        <w:rPr>
          <w:rFonts w:cstheme="minorHAnsi"/>
        </w:rPr>
        <w:t xml:space="preserve">he University continued its strong performance </w:t>
      </w:r>
      <w:r w:rsidR="006E77E5">
        <w:rPr>
          <w:rFonts w:cstheme="minorHAnsi"/>
        </w:rPr>
        <w:t xml:space="preserve">lead by the Institute for Sustainability </w:t>
      </w:r>
      <w:r w:rsidR="00F8525D" w:rsidRPr="005B56DA">
        <w:rPr>
          <w:rFonts w:cstheme="minorHAnsi"/>
        </w:rPr>
        <w:t xml:space="preserve">in the Times Higher </w:t>
      </w:r>
      <w:r w:rsidR="0019581C">
        <w:rPr>
          <w:rFonts w:cstheme="minorHAnsi"/>
        </w:rPr>
        <w:t xml:space="preserve">Education </w:t>
      </w:r>
      <w:r w:rsidR="00F8525D" w:rsidRPr="005B56DA">
        <w:rPr>
          <w:rFonts w:cstheme="minorHAnsi"/>
        </w:rPr>
        <w:t>Impact (THE) rankings 202</w:t>
      </w:r>
      <w:r w:rsidR="003B056D">
        <w:rPr>
          <w:rFonts w:cstheme="minorHAnsi"/>
        </w:rPr>
        <w:t>2</w:t>
      </w:r>
      <w:r w:rsidR="00F8525D" w:rsidRPr="005B56DA">
        <w:rPr>
          <w:rFonts w:cstheme="minorHAnsi"/>
        </w:rPr>
        <w:t xml:space="preserve"> with an overall </w:t>
      </w:r>
      <w:r w:rsidR="0096624E">
        <w:rPr>
          <w:rFonts w:cstheme="minorHAnsi"/>
        </w:rPr>
        <w:t xml:space="preserve">global </w:t>
      </w:r>
      <w:r w:rsidR="00F8525D" w:rsidRPr="005B56DA">
        <w:rPr>
          <w:rFonts w:cstheme="minorHAnsi"/>
        </w:rPr>
        <w:t xml:space="preserve">position of </w:t>
      </w:r>
      <w:r w:rsidR="00922E8F">
        <w:rPr>
          <w:rFonts w:cstheme="minorHAnsi"/>
        </w:rPr>
        <w:t>4</w:t>
      </w:r>
      <w:r w:rsidR="0019581C">
        <w:rPr>
          <w:rFonts w:cstheme="minorHAnsi"/>
        </w:rPr>
        <w:t>6</w:t>
      </w:r>
      <w:r w:rsidR="00F8525D" w:rsidRPr="005B56DA">
        <w:rPr>
          <w:rFonts w:cstheme="minorHAnsi"/>
          <w:vertAlign w:val="superscript"/>
        </w:rPr>
        <w:t>th</w:t>
      </w:r>
      <w:r w:rsidR="00F8525D" w:rsidRPr="005B56DA">
        <w:rPr>
          <w:rFonts w:cstheme="minorHAnsi"/>
        </w:rPr>
        <w:t xml:space="preserve"> </w:t>
      </w:r>
      <w:r w:rsidR="002A2A12">
        <w:rPr>
          <w:rFonts w:cstheme="minorHAnsi"/>
        </w:rPr>
        <w:t>(up from</w:t>
      </w:r>
      <w:r w:rsidR="0096624E">
        <w:rPr>
          <w:rFonts w:cstheme="minorHAnsi"/>
        </w:rPr>
        <w:t xml:space="preserve"> last year’s</w:t>
      </w:r>
      <w:r w:rsidR="002A2A12">
        <w:rPr>
          <w:rFonts w:cstheme="minorHAnsi"/>
        </w:rPr>
        <w:t xml:space="preserve"> </w:t>
      </w:r>
      <w:r w:rsidR="00922E8F">
        <w:rPr>
          <w:rFonts w:cstheme="minorHAnsi"/>
        </w:rPr>
        <w:t>55</w:t>
      </w:r>
      <w:r w:rsidR="00922E8F" w:rsidRPr="00922E8F">
        <w:rPr>
          <w:rFonts w:cstheme="minorHAnsi"/>
          <w:vertAlign w:val="superscript"/>
        </w:rPr>
        <w:t>th</w:t>
      </w:r>
      <w:r w:rsidR="00922E8F">
        <w:rPr>
          <w:rFonts w:cstheme="minorHAnsi"/>
        </w:rPr>
        <w:t xml:space="preserve">) </w:t>
      </w:r>
      <w:r w:rsidR="00744FCA">
        <w:rPr>
          <w:rFonts w:cstheme="minorHAnsi"/>
        </w:rPr>
        <w:t>and 9</w:t>
      </w:r>
      <w:r w:rsidR="00744FCA" w:rsidRPr="00744FCA">
        <w:rPr>
          <w:rFonts w:cstheme="minorHAnsi"/>
          <w:vertAlign w:val="superscript"/>
        </w:rPr>
        <w:t>th</w:t>
      </w:r>
      <w:r w:rsidR="00744FCA">
        <w:rPr>
          <w:rFonts w:cstheme="minorHAnsi"/>
        </w:rPr>
        <w:t xml:space="preserve"> in the UK (up from 12</w:t>
      </w:r>
      <w:r w:rsidR="00744FCA" w:rsidRPr="00744FCA">
        <w:rPr>
          <w:rFonts w:cstheme="minorHAnsi"/>
          <w:vertAlign w:val="superscript"/>
        </w:rPr>
        <w:t>th</w:t>
      </w:r>
      <w:r w:rsidR="00744FCA">
        <w:rPr>
          <w:rFonts w:cstheme="minorHAnsi"/>
        </w:rPr>
        <w:t xml:space="preserve"> the previous year). </w:t>
      </w:r>
      <w:r w:rsidR="00BA52D5">
        <w:rPr>
          <w:rFonts w:cstheme="minorHAnsi"/>
        </w:rPr>
        <w:t xml:space="preserve">Competition is increasing with </w:t>
      </w:r>
      <w:r w:rsidR="00C063C1">
        <w:rPr>
          <w:rFonts w:cstheme="minorHAnsi"/>
        </w:rPr>
        <w:t>the number of</w:t>
      </w:r>
      <w:r w:rsidR="00BA52D5">
        <w:rPr>
          <w:rFonts w:cstheme="minorHAnsi"/>
        </w:rPr>
        <w:t xml:space="preserve"> participants</w:t>
      </w:r>
      <w:r w:rsidR="00C063C1">
        <w:rPr>
          <w:rFonts w:cstheme="minorHAnsi"/>
        </w:rPr>
        <w:t xml:space="preserve"> growing</w:t>
      </w:r>
      <w:r w:rsidR="00BA52D5">
        <w:rPr>
          <w:rFonts w:cstheme="minorHAnsi"/>
        </w:rPr>
        <w:t xml:space="preserve"> from </w:t>
      </w:r>
      <w:r w:rsidR="00F8525D" w:rsidRPr="005B56DA">
        <w:rPr>
          <w:rFonts w:cstheme="minorHAnsi"/>
        </w:rPr>
        <w:t xml:space="preserve">1,410 </w:t>
      </w:r>
      <w:r w:rsidR="00BA52D5">
        <w:rPr>
          <w:rFonts w:cstheme="minorHAnsi"/>
        </w:rPr>
        <w:t xml:space="preserve">to </w:t>
      </w:r>
      <w:r w:rsidR="00C82254">
        <w:rPr>
          <w:rFonts w:cstheme="minorHAnsi"/>
        </w:rPr>
        <w:t>1,625</w:t>
      </w:r>
      <w:r w:rsidR="00CB6CEF">
        <w:rPr>
          <w:rFonts w:cstheme="minorHAnsi"/>
        </w:rPr>
        <w:t xml:space="preserve">, with this </w:t>
      </w:r>
      <w:r w:rsidR="00E16841">
        <w:rPr>
          <w:rFonts w:cstheme="minorHAnsi"/>
        </w:rPr>
        <w:t xml:space="preserve">growth likely to </w:t>
      </w:r>
      <w:r w:rsidR="00CA48B4">
        <w:rPr>
          <w:rFonts w:cstheme="minorHAnsi"/>
        </w:rPr>
        <w:t>continue in the coming years.</w:t>
      </w:r>
      <w:r w:rsidR="00F8525D" w:rsidRPr="005B56DA">
        <w:rPr>
          <w:rFonts w:cstheme="minorHAnsi"/>
        </w:rPr>
        <w:t xml:space="preserve"> </w:t>
      </w:r>
    </w:p>
    <w:p w14:paraId="53D46395" w14:textId="15FD1E61" w:rsidR="00F8525D" w:rsidRPr="005B56DA" w:rsidRDefault="00F8525D" w:rsidP="007F7424">
      <w:pPr>
        <w:pStyle w:val="ListParagraph"/>
        <w:ind w:left="360"/>
        <w:rPr>
          <w:rFonts w:cstheme="minorHAnsi"/>
        </w:rPr>
      </w:pPr>
    </w:p>
    <w:p w14:paraId="14F140CF" w14:textId="72C7951D" w:rsidR="00F8525D" w:rsidRPr="009E1B51" w:rsidRDefault="00E02E77" w:rsidP="009E1B51">
      <w:pPr>
        <w:pStyle w:val="ListParagraph"/>
        <w:ind w:left="360"/>
        <w:rPr>
          <w:rFonts w:cstheme="minorHAnsi"/>
        </w:rPr>
      </w:pPr>
      <w:r>
        <w:rPr>
          <w:rFonts w:cstheme="minorHAnsi"/>
        </w:rPr>
        <w:t>The Institute</w:t>
      </w:r>
      <w:r w:rsidR="009E1B51">
        <w:rPr>
          <w:rFonts w:cstheme="minorHAnsi"/>
        </w:rPr>
        <w:t xml:space="preserve"> (N</w:t>
      </w:r>
      <w:r w:rsidR="000D50F7">
        <w:rPr>
          <w:rFonts w:cstheme="minorHAnsi"/>
        </w:rPr>
        <w:t>athalie Hinds - N</w:t>
      </w:r>
      <w:r w:rsidR="009E1B51">
        <w:rPr>
          <w:rFonts w:cstheme="minorHAnsi"/>
        </w:rPr>
        <w:t>H)</w:t>
      </w:r>
      <w:r>
        <w:rPr>
          <w:rFonts w:cstheme="minorHAnsi"/>
        </w:rPr>
        <w:t xml:space="preserve"> and </w:t>
      </w:r>
      <w:r w:rsidR="009E1B51">
        <w:rPr>
          <w:rFonts w:cstheme="minorHAnsi"/>
        </w:rPr>
        <w:t>E</w:t>
      </w:r>
      <w:r w:rsidR="00B41C19">
        <w:rPr>
          <w:rFonts w:cstheme="minorHAnsi"/>
        </w:rPr>
        <w:t>FCS</w:t>
      </w:r>
      <w:r w:rsidR="009E1B51">
        <w:rPr>
          <w:rFonts w:cstheme="minorHAnsi"/>
        </w:rPr>
        <w:t xml:space="preserve"> </w:t>
      </w:r>
      <w:r w:rsidR="000D50F7">
        <w:rPr>
          <w:rFonts w:cstheme="minorHAnsi"/>
        </w:rPr>
        <w:t xml:space="preserve">Sustainability </w:t>
      </w:r>
      <w:r w:rsidR="009E1B51">
        <w:rPr>
          <w:rFonts w:cstheme="minorHAnsi"/>
        </w:rPr>
        <w:t>(</w:t>
      </w:r>
      <w:r w:rsidR="007E03EE">
        <w:rPr>
          <w:rFonts w:cstheme="minorHAnsi"/>
        </w:rPr>
        <w:t xml:space="preserve">Martin Wiles - </w:t>
      </w:r>
      <w:r w:rsidR="009E1B51">
        <w:rPr>
          <w:rFonts w:cstheme="minorHAnsi"/>
        </w:rPr>
        <w:t xml:space="preserve">MW) are working together to </w:t>
      </w:r>
      <w:r w:rsidR="009E1B51" w:rsidRPr="005B56DA">
        <w:rPr>
          <w:rFonts w:cstheme="minorHAnsi"/>
        </w:rPr>
        <w:t>complete</w:t>
      </w:r>
      <w:r w:rsidR="009E1B51">
        <w:rPr>
          <w:rFonts w:cstheme="minorHAnsi"/>
        </w:rPr>
        <w:t xml:space="preserve"> the</w:t>
      </w:r>
      <w:r w:rsidR="00F8525D" w:rsidRPr="009E1B51">
        <w:rPr>
          <w:rFonts w:cstheme="minorHAnsi"/>
        </w:rPr>
        <w:t xml:space="preserve"> 2023 submission (Nov 1</w:t>
      </w:r>
      <w:r w:rsidR="00443405" w:rsidRPr="009E1B51">
        <w:rPr>
          <w:rFonts w:cstheme="minorHAnsi"/>
        </w:rPr>
        <w:t>0</w:t>
      </w:r>
      <w:r w:rsidR="00F8525D" w:rsidRPr="009E1B51">
        <w:rPr>
          <w:rFonts w:cstheme="minorHAnsi"/>
          <w:vertAlign w:val="superscript"/>
        </w:rPr>
        <w:t>th</w:t>
      </w:r>
      <w:r w:rsidR="00443405" w:rsidRPr="009E1B51">
        <w:rPr>
          <w:rFonts w:cstheme="minorHAnsi"/>
        </w:rPr>
        <w:t>, 2023</w:t>
      </w:r>
      <w:r w:rsidR="00F8525D" w:rsidRPr="009E1B51">
        <w:rPr>
          <w:rFonts w:cstheme="minorHAnsi"/>
        </w:rPr>
        <w:t>).</w:t>
      </w:r>
      <w:r w:rsidR="002630AF" w:rsidRPr="009E1B51">
        <w:rPr>
          <w:rFonts w:cstheme="minorHAnsi"/>
        </w:rPr>
        <w:t xml:space="preserve"> </w:t>
      </w:r>
      <w:r w:rsidR="00D272EA" w:rsidRPr="009E1B51">
        <w:rPr>
          <w:rFonts w:cstheme="minorHAnsi"/>
        </w:rPr>
        <w:t xml:space="preserve">The </w:t>
      </w:r>
      <w:r w:rsidR="0025288A" w:rsidRPr="009E1B51">
        <w:rPr>
          <w:rFonts w:cstheme="minorHAnsi"/>
        </w:rPr>
        <w:t>Institute for Sustainability lead</w:t>
      </w:r>
      <w:r w:rsidR="00B41C19">
        <w:rPr>
          <w:rFonts w:cstheme="minorHAnsi"/>
        </w:rPr>
        <w:t>s</w:t>
      </w:r>
      <w:r w:rsidR="0025288A" w:rsidRPr="009E1B51">
        <w:rPr>
          <w:rFonts w:cstheme="minorHAnsi"/>
        </w:rPr>
        <w:t xml:space="preserve"> the submission</w:t>
      </w:r>
      <w:r w:rsidR="001F119A" w:rsidRPr="009E1B51">
        <w:rPr>
          <w:rFonts w:cstheme="minorHAnsi"/>
        </w:rPr>
        <w:t xml:space="preserve"> </w:t>
      </w:r>
      <w:r w:rsidR="00877E32">
        <w:rPr>
          <w:rFonts w:cstheme="minorHAnsi"/>
        </w:rPr>
        <w:t xml:space="preserve">and </w:t>
      </w:r>
      <w:r w:rsidR="007C7F43">
        <w:rPr>
          <w:rFonts w:cstheme="minorHAnsi"/>
        </w:rPr>
        <w:t xml:space="preserve">with </w:t>
      </w:r>
      <w:r w:rsidR="00877E32">
        <w:rPr>
          <w:rFonts w:cstheme="minorHAnsi"/>
        </w:rPr>
        <w:t xml:space="preserve">the </w:t>
      </w:r>
      <w:r w:rsidR="001F119A" w:rsidRPr="009E1B51">
        <w:rPr>
          <w:rFonts w:cstheme="minorHAnsi"/>
        </w:rPr>
        <w:t>EFCS sustainability team</w:t>
      </w:r>
      <w:r w:rsidR="00877E32">
        <w:rPr>
          <w:rFonts w:cstheme="minorHAnsi"/>
        </w:rPr>
        <w:t xml:space="preserve"> undertook</w:t>
      </w:r>
      <w:r w:rsidR="003B6AB1" w:rsidRPr="009E1B51">
        <w:rPr>
          <w:rFonts w:cstheme="minorHAnsi"/>
        </w:rPr>
        <w:t xml:space="preserve"> a ‘deep dive’ into the data from the 2022 submission </w:t>
      </w:r>
      <w:r w:rsidR="002236FF" w:rsidRPr="009E1B51">
        <w:rPr>
          <w:rFonts w:cstheme="minorHAnsi"/>
        </w:rPr>
        <w:t>to see where improvements can be made</w:t>
      </w:r>
      <w:r w:rsidR="007C7F43">
        <w:rPr>
          <w:rFonts w:cstheme="minorHAnsi"/>
        </w:rPr>
        <w:t xml:space="preserve">. </w:t>
      </w:r>
      <w:r w:rsidR="00A01FBF">
        <w:rPr>
          <w:rFonts w:cstheme="minorHAnsi"/>
        </w:rPr>
        <w:t xml:space="preserve">Together, they are shaping a plan for </w:t>
      </w:r>
      <w:r w:rsidR="00FF3F9D">
        <w:rPr>
          <w:rFonts w:cstheme="minorHAnsi"/>
        </w:rPr>
        <w:t xml:space="preserve">that will </w:t>
      </w:r>
      <w:r w:rsidR="00CC70D7">
        <w:rPr>
          <w:rFonts w:cstheme="minorHAnsi"/>
        </w:rPr>
        <w:t xml:space="preserve">improve </w:t>
      </w:r>
      <w:r w:rsidR="00A01FBF">
        <w:rPr>
          <w:rFonts w:cstheme="minorHAnsi"/>
        </w:rPr>
        <w:t xml:space="preserve">both </w:t>
      </w:r>
      <w:r w:rsidR="00694842">
        <w:rPr>
          <w:rFonts w:cstheme="minorHAnsi"/>
        </w:rPr>
        <w:t>the submission</w:t>
      </w:r>
      <w:r w:rsidR="00CC70D7">
        <w:rPr>
          <w:rFonts w:cstheme="minorHAnsi"/>
        </w:rPr>
        <w:t xml:space="preserve"> for this year</w:t>
      </w:r>
      <w:r w:rsidR="00694842">
        <w:rPr>
          <w:rFonts w:cstheme="minorHAnsi"/>
        </w:rPr>
        <w:t xml:space="preserve"> and</w:t>
      </w:r>
      <w:r w:rsidR="00CC70D7">
        <w:rPr>
          <w:rFonts w:cstheme="minorHAnsi"/>
        </w:rPr>
        <w:t xml:space="preserve"> future years, with the aim of</w:t>
      </w:r>
      <w:r w:rsidR="00694842">
        <w:rPr>
          <w:rFonts w:cstheme="minorHAnsi"/>
        </w:rPr>
        <w:t xml:space="preserve"> </w:t>
      </w:r>
      <w:r w:rsidR="00CC70D7">
        <w:rPr>
          <w:rFonts w:cstheme="minorHAnsi"/>
        </w:rPr>
        <w:t>em</w:t>
      </w:r>
      <w:r w:rsidR="00694842">
        <w:rPr>
          <w:rFonts w:cstheme="minorHAnsi"/>
        </w:rPr>
        <w:t>bed</w:t>
      </w:r>
      <w:r w:rsidR="00CC70D7">
        <w:rPr>
          <w:rFonts w:cstheme="minorHAnsi"/>
        </w:rPr>
        <w:t>ding</w:t>
      </w:r>
      <w:r w:rsidR="00694842">
        <w:rPr>
          <w:rFonts w:cstheme="minorHAnsi"/>
        </w:rPr>
        <w:t xml:space="preserve"> the SDG framework into </w:t>
      </w:r>
      <w:r w:rsidR="004E1DFA">
        <w:rPr>
          <w:rFonts w:cstheme="minorHAnsi"/>
        </w:rPr>
        <w:t xml:space="preserve">the University core activities. </w:t>
      </w:r>
      <w:r w:rsidR="00EB697C" w:rsidRPr="009E1B51">
        <w:rPr>
          <w:rFonts w:cstheme="minorHAnsi"/>
        </w:rPr>
        <w:t xml:space="preserve"> </w:t>
      </w:r>
      <w:r w:rsidR="003F72C7" w:rsidRPr="009E1B51">
        <w:rPr>
          <w:rFonts w:cstheme="minorHAnsi"/>
        </w:rPr>
        <w:t xml:space="preserve">This focuses on </w:t>
      </w:r>
      <w:r w:rsidR="004E1DFA">
        <w:rPr>
          <w:rFonts w:cstheme="minorHAnsi"/>
        </w:rPr>
        <w:t xml:space="preserve">bibliometric </w:t>
      </w:r>
      <w:r w:rsidR="007C0ED1">
        <w:rPr>
          <w:rFonts w:cstheme="minorHAnsi"/>
        </w:rPr>
        <w:t xml:space="preserve">analysis, creating a sustainability </w:t>
      </w:r>
      <w:r w:rsidR="003F72C7" w:rsidRPr="009E1B51">
        <w:rPr>
          <w:rFonts w:cstheme="minorHAnsi"/>
        </w:rPr>
        <w:t>d</w:t>
      </w:r>
      <w:r w:rsidR="007C0ED1">
        <w:rPr>
          <w:rFonts w:cstheme="minorHAnsi"/>
        </w:rPr>
        <w:t>ashboard in power BI</w:t>
      </w:r>
      <w:r w:rsidR="003F72C7" w:rsidRPr="009E1B51">
        <w:rPr>
          <w:rFonts w:cstheme="minorHAnsi"/>
        </w:rPr>
        <w:t xml:space="preserve">, </w:t>
      </w:r>
      <w:r w:rsidR="007C0ED1">
        <w:rPr>
          <w:rFonts w:cstheme="minorHAnsi"/>
        </w:rPr>
        <w:t xml:space="preserve">reviewing </w:t>
      </w:r>
      <w:r w:rsidR="003F72C7" w:rsidRPr="009E1B51">
        <w:rPr>
          <w:rFonts w:cstheme="minorHAnsi"/>
        </w:rPr>
        <w:t>polic</w:t>
      </w:r>
      <w:r w:rsidR="007C0ED1">
        <w:rPr>
          <w:rFonts w:cstheme="minorHAnsi"/>
        </w:rPr>
        <w:t>ies</w:t>
      </w:r>
      <w:r w:rsidR="00A31E44" w:rsidRPr="009E1B51">
        <w:rPr>
          <w:rFonts w:cstheme="minorHAnsi"/>
        </w:rPr>
        <w:t>,</w:t>
      </w:r>
      <w:r w:rsidR="007C0ED1">
        <w:rPr>
          <w:rFonts w:cstheme="minorHAnsi"/>
        </w:rPr>
        <w:t xml:space="preserve"> and </w:t>
      </w:r>
      <w:r w:rsidR="00FC7C81">
        <w:rPr>
          <w:rFonts w:cstheme="minorHAnsi"/>
        </w:rPr>
        <w:t>establishing processes to capture specific</w:t>
      </w:r>
      <w:r w:rsidR="003F72C7" w:rsidRPr="009E1B51">
        <w:rPr>
          <w:rFonts w:cstheme="minorHAnsi"/>
        </w:rPr>
        <w:t xml:space="preserve"> </w:t>
      </w:r>
      <w:r w:rsidR="005A50F4" w:rsidRPr="009E1B51">
        <w:rPr>
          <w:rFonts w:cstheme="minorHAnsi"/>
        </w:rPr>
        <w:t>evidence</w:t>
      </w:r>
      <w:r w:rsidR="00A31E44" w:rsidRPr="009E1B51">
        <w:rPr>
          <w:rFonts w:cstheme="minorHAnsi"/>
        </w:rPr>
        <w:t xml:space="preserve"> </w:t>
      </w:r>
      <w:r w:rsidR="00FC7C81">
        <w:rPr>
          <w:rFonts w:cstheme="minorHAnsi"/>
        </w:rPr>
        <w:t>for all SDGs.</w:t>
      </w:r>
      <w:r w:rsidR="006401FA" w:rsidRPr="009E1B51">
        <w:rPr>
          <w:rFonts w:cstheme="minorHAnsi"/>
        </w:rPr>
        <w:t xml:space="preserve"> </w:t>
      </w:r>
      <w:r w:rsidR="00430B6C" w:rsidRPr="009E1B51">
        <w:rPr>
          <w:rFonts w:cstheme="minorHAnsi"/>
        </w:rPr>
        <w:t>This will allow the University to</w:t>
      </w:r>
      <w:r w:rsidR="00C40F08" w:rsidRPr="009E1B51">
        <w:rPr>
          <w:rFonts w:cstheme="minorHAnsi"/>
        </w:rPr>
        <w:t xml:space="preserve"> maximise to focus on</w:t>
      </w:r>
      <w:r w:rsidR="00FC7C81">
        <w:rPr>
          <w:rFonts w:cstheme="minorHAnsi"/>
        </w:rPr>
        <w:t xml:space="preserve"> its strength and identify areas</w:t>
      </w:r>
      <w:r w:rsidR="00C40F08" w:rsidRPr="009E1B51">
        <w:rPr>
          <w:rFonts w:cstheme="minorHAnsi"/>
        </w:rPr>
        <w:t xml:space="preserve"> where </w:t>
      </w:r>
      <w:r w:rsidR="00FC7C81">
        <w:rPr>
          <w:rFonts w:cstheme="minorHAnsi"/>
        </w:rPr>
        <w:t>it</w:t>
      </w:r>
      <w:r w:rsidR="00C40F08" w:rsidRPr="009E1B51">
        <w:rPr>
          <w:rFonts w:cstheme="minorHAnsi"/>
        </w:rPr>
        <w:t xml:space="preserve"> can improve</w:t>
      </w:r>
      <w:r w:rsidR="00631755" w:rsidRPr="009E1B51">
        <w:rPr>
          <w:rFonts w:cstheme="minorHAnsi"/>
        </w:rPr>
        <w:t>.</w:t>
      </w:r>
      <w:r w:rsidR="00C40F08" w:rsidRPr="009E1B51">
        <w:rPr>
          <w:rFonts w:cstheme="minorHAnsi"/>
        </w:rPr>
        <w:t xml:space="preserve"> </w:t>
      </w:r>
    </w:p>
    <w:p w14:paraId="47EF34E5" w14:textId="77777777" w:rsidR="00F8525D" w:rsidRPr="005B56DA" w:rsidRDefault="00F8525D" w:rsidP="00F8525D">
      <w:pPr>
        <w:pStyle w:val="ListParagraph"/>
        <w:ind w:left="360"/>
        <w:rPr>
          <w:rFonts w:cstheme="minorHAnsi"/>
        </w:rPr>
      </w:pPr>
    </w:p>
    <w:p w14:paraId="2014255F" w14:textId="6D89F909" w:rsidR="00F8525D" w:rsidRPr="005B56DA" w:rsidRDefault="00631755" w:rsidP="00F8525D">
      <w:pPr>
        <w:pStyle w:val="ListParagraph"/>
        <w:ind w:left="360"/>
        <w:rPr>
          <w:rFonts w:cstheme="minorHAnsi"/>
        </w:rPr>
      </w:pPr>
      <w:r>
        <w:rPr>
          <w:rFonts w:cstheme="minorHAnsi"/>
        </w:rPr>
        <w:t>As with the 2022</w:t>
      </w:r>
      <w:r w:rsidR="00F8525D" w:rsidRPr="005B56DA">
        <w:rPr>
          <w:rFonts w:cstheme="minorHAnsi"/>
        </w:rPr>
        <w:t xml:space="preserve"> submission</w:t>
      </w:r>
      <w:r>
        <w:rPr>
          <w:rFonts w:cstheme="minorHAnsi"/>
        </w:rPr>
        <w:t xml:space="preserve"> we have</w:t>
      </w:r>
      <w:r w:rsidR="00F8525D" w:rsidRPr="005B56DA">
        <w:rPr>
          <w:rFonts w:cstheme="minorHAnsi"/>
        </w:rPr>
        <w:t xml:space="preserve"> benefited from a new SDG Annual Report</w:t>
      </w:r>
      <w:r w:rsidR="00587D29">
        <w:rPr>
          <w:rFonts w:cstheme="minorHAnsi"/>
        </w:rPr>
        <w:t xml:space="preserve"> co-designed</w:t>
      </w:r>
      <w:r w:rsidR="00F8525D" w:rsidRPr="005B56DA">
        <w:rPr>
          <w:rFonts w:cstheme="minorHAnsi"/>
        </w:rPr>
        <w:t xml:space="preserve"> </w:t>
      </w:r>
      <w:r w:rsidR="00587D29">
        <w:rPr>
          <w:rFonts w:cstheme="minorHAnsi"/>
        </w:rPr>
        <w:t xml:space="preserve">by the Institute for </w:t>
      </w:r>
      <w:r w:rsidR="00523C4B">
        <w:rPr>
          <w:rFonts w:cstheme="minorHAnsi"/>
        </w:rPr>
        <w:t>Sustainability (NH),</w:t>
      </w:r>
      <w:r w:rsidR="00587D29">
        <w:rPr>
          <w:rFonts w:cstheme="minorHAnsi"/>
        </w:rPr>
        <w:t xml:space="preserve"> Sustainability within Estates and </w:t>
      </w:r>
      <w:r w:rsidR="007005CC">
        <w:rPr>
          <w:rFonts w:cstheme="minorHAnsi"/>
        </w:rPr>
        <w:t xml:space="preserve">the </w:t>
      </w:r>
      <w:r w:rsidR="00587D29">
        <w:rPr>
          <w:rFonts w:cstheme="minorHAnsi"/>
        </w:rPr>
        <w:t>Public Engagement</w:t>
      </w:r>
      <w:r w:rsidR="007005CC">
        <w:rPr>
          <w:rFonts w:cstheme="minorHAnsi"/>
        </w:rPr>
        <w:t xml:space="preserve"> team,</w:t>
      </w:r>
      <w:r w:rsidR="00587D29">
        <w:rPr>
          <w:rFonts w:cstheme="minorHAnsi"/>
        </w:rPr>
        <w:t xml:space="preserve"> </w:t>
      </w:r>
      <w:r w:rsidR="00F8525D" w:rsidRPr="005B56DA">
        <w:rPr>
          <w:rFonts w:cstheme="minorHAnsi"/>
        </w:rPr>
        <w:t xml:space="preserve">which highlights examples of our contributions to the 17 SDGs. The report will be public and showcased through a dedicated webpage. </w:t>
      </w:r>
    </w:p>
    <w:p w14:paraId="105DD3B3" w14:textId="77777777" w:rsidR="00F8525D" w:rsidRDefault="00000000" w:rsidP="00F8525D">
      <w:pPr>
        <w:ind w:firstLine="360"/>
        <w:rPr>
          <w:rStyle w:val="Hyperlink"/>
          <w:rFonts w:cstheme="minorHAnsi"/>
        </w:rPr>
      </w:pPr>
      <w:hyperlink r:id="rId9" w:history="1">
        <w:r w:rsidR="00F8525D" w:rsidRPr="005B56DA">
          <w:rPr>
            <w:rStyle w:val="Hyperlink"/>
            <w:rFonts w:cstheme="minorHAnsi"/>
          </w:rPr>
          <w:t>https://www.surrey.ac.uk/institute-sustainability/sustainable-development-goals</w:t>
        </w:r>
      </w:hyperlink>
    </w:p>
    <w:p w14:paraId="11210102" w14:textId="77777777" w:rsidR="007D1CC8" w:rsidRPr="005B56DA" w:rsidRDefault="007D1CC8" w:rsidP="00F8525D">
      <w:pPr>
        <w:ind w:firstLine="360"/>
        <w:rPr>
          <w:rFonts w:cstheme="minorHAnsi"/>
        </w:rPr>
      </w:pPr>
    </w:p>
    <w:p w14:paraId="39D4E7C5" w14:textId="2E3B70F5" w:rsidR="00F8525D" w:rsidRPr="00906254" w:rsidRDefault="00F8525D" w:rsidP="00136398">
      <w:pPr>
        <w:pStyle w:val="ListParagraph"/>
        <w:numPr>
          <w:ilvl w:val="0"/>
          <w:numId w:val="2"/>
        </w:numPr>
        <w:rPr>
          <w:rFonts w:cstheme="minorHAnsi"/>
          <w:sz w:val="24"/>
          <w:szCs w:val="24"/>
        </w:rPr>
      </w:pPr>
      <w:r w:rsidRPr="00906254">
        <w:rPr>
          <w:rFonts w:cstheme="minorHAnsi"/>
          <w:b/>
          <w:bCs/>
          <w:sz w:val="24"/>
          <w:szCs w:val="24"/>
        </w:rPr>
        <w:lastRenderedPageBreak/>
        <w:t>Institute of Sustainability</w:t>
      </w:r>
    </w:p>
    <w:p w14:paraId="260E8463" w14:textId="3F260D63" w:rsidR="00F8525D" w:rsidRPr="007F39BC" w:rsidRDefault="00D746B6" w:rsidP="00B420C1">
      <w:pPr>
        <w:ind w:left="360"/>
      </w:pPr>
      <w:r w:rsidRPr="007F39BC">
        <w:t>The</w:t>
      </w:r>
      <w:r w:rsidR="00F8525D" w:rsidRPr="007F39BC">
        <w:t xml:space="preserve"> Institute of </w:t>
      </w:r>
      <w:r w:rsidR="00DE18A5" w:rsidRPr="007F39BC">
        <w:t>Sustainability, launched</w:t>
      </w:r>
      <w:r w:rsidRPr="007F39BC">
        <w:t xml:space="preserve"> in December 2022</w:t>
      </w:r>
      <w:r w:rsidR="00DF37A2" w:rsidRPr="007F39BC">
        <w:t xml:space="preserve">, has </w:t>
      </w:r>
      <w:r w:rsidR="00DE18A5">
        <w:t xml:space="preserve">a </w:t>
      </w:r>
      <w:r w:rsidRPr="00467DE7">
        <w:t>purpose to harness the power of collaboration across all disciplines (in the University of Surrey and beyond)</w:t>
      </w:r>
      <w:r w:rsidR="00DE18A5">
        <w:t>,</w:t>
      </w:r>
      <w:r w:rsidRPr="00467DE7">
        <w:t xml:space="preserve"> to drive the transition to a sustainable world of long-term wellbeing for all.</w:t>
      </w:r>
      <w:r w:rsidR="00DF37A2" w:rsidRPr="00467DE7">
        <w:t xml:space="preserve"> Its activity includes </w:t>
      </w:r>
      <w:r w:rsidR="000C6316">
        <w:t xml:space="preserve">driving </w:t>
      </w:r>
      <w:r w:rsidR="00DF37A2" w:rsidRPr="00467DE7">
        <w:t xml:space="preserve">sustainability research, for societal and </w:t>
      </w:r>
      <w:r w:rsidR="00351733" w:rsidRPr="00351733">
        <w:t>environmental</w:t>
      </w:r>
      <w:r w:rsidR="00DF37A2" w:rsidRPr="00467DE7">
        <w:t xml:space="preserve"> impact.</w:t>
      </w:r>
      <w:r w:rsidR="00F8525D" w:rsidRPr="007F39BC">
        <w:t xml:space="preserve"> The Institute </w:t>
      </w:r>
      <w:r w:rsidR="00DF37A2" w:rsidRPr="007F39BC">
        <w:t xml:space="preserve">is also </w:t>
      </w:r>
      <w:r w:rsidR="00F8525D" w:rsidRPr="007F39BC">
        <w:t>a critical player in the global transition to sustainable living for everyone,</w:t>
      </w:r>
      <w:r w:rsidR="00DF37A2" w:rsidRPr="007F39BC">
        <w:t xml:space="preserve"> by working </w:t>
      </w:r>
      <w:r w:rsidR="00F8525D" w:rsidRPr="007F39BC">
        <w:t xml:space="preserve">through </w:t>
      </w:r>
      <w:r w:rsidR="00DF37A2" w:rsidRPr="007F39BC">
        <w:t>its newly launch</w:t>
      </w:r>
      <w:r w:rsidR="007F39BC">
        <w:t>ed</w:t>
      </w:r>
      <w:r w:rsidR="00DF37A2" w:rsidRPr="007F39BC">
        <w:t xml:space="preserve"> Sustainability I</w:t>
      </w:r>
      <w:r w:rsidR="00F8525D" w:rsidRPr="007F39BC">
        <w:t>nnovation</w:t>
      </w:r>
      <w:r w:rsidR="00DF37A2" w:rsidRPr="007F39BC">
        <w:t xml:space="preserve"> Hub</w:t>
      </w:r>
      <w:r w:rsidR="008B78B7">
        <w:t xml:space="preserve">. The hub </w:t>
      </w:r>
      <w:r w:rsidR="00467DE7">
        <w:t xml:space="preserve">is </w:t>
      </w:r>
      <w:r w:rsidR="00467DE7" w:rsidRPr="007F39BC">
        <w:t>the</w:t>
      </w:r>
      <w:r w:rsidR="008B78B7">
        <w:t xml:space="preserve"> institute ‘action arm’</w:t>
      </w:r>
      <w:r w:rsidR="00540ED1">
        <w:t xml:space="preserve">, </w:t>
      </w:r>
      <w:r w:rsidR="00DF37A2" w:rsidRPr="007F39BC">
        <w:t xml:space="preserve">a centre of activity </w:t>
      </w:r>
      <w:r w:rsidR="008B78B7">
        <w:t xml:space="preserve">set up </w:t>
      </w:r>
      <w:r w:rsidR="007F39BC">
        <w:t xml:space="preserve">to address sustainability challenges, using </w:t>
      </w:r>
      <w:r w:rsidR="00DF37A2" w:rsidRPr="007F39BC">
        <w:t>system thinking, co-design approaches and implementation science</w:t>
      </w:r>
      <w:r w:rsidR="007F39BC">
        <w:t xml:space="preserve"> and </w:t>
      </w:r>
      <w:r w:rsidR="00DF37A2" w:rsidRPr="007F39BC">
        <w:t xml:space="preserve">working </w:t>
      </w:r>
      <w:r w:rsidR="00F8525D" w:rsidRPr="007F39BC">
        <w:t>in partnership with</w:t>
      </w:r>
      <w:r w:rsidR="00DF37A2" w:rsidRPr="007F39BC">
        <w:t xml:space="preserve"> local,</w:t>
      </w:r>
      <w:r w:rsidR="00F8525D" w:rsidRPr="007F39BC">
        <w:t xml:space="preserve"> national and international organisations, </w:t>
      </w:r>
      <w:r w:rsidR="00DF37A2" w:rsidRPr="007F39BC">
        <w:t>across the public, private and third sector</w:t>
      </w:r>
      <w:r w:rsidR="00207A5D" w:rsidRPr="007F39BC">
        <w:t>.</w:t>
      </w:r>
    </w:p>
    <w:p w14:paraId="23955874" w14:textId="77777777" w:rsidR="00F8525D" w:rsidRPr="005B56DA" w:rsidRDefault="00F8525D" w:rsidP="00F8525D">
      <w:pPr>
        <w:pStyle w:val="ListParagraph"/>
        <w:ind w:left="360"/>
        <w:rPr>
          <w:rFonts w:cstheme="minorHAnsi"/>
        </w:rPr>
      </w:pPr>
    </w:p>
    <w:p w14:paraId="22DFDCA7" w14:textId="0CAD3651" w:rsidR="00F8525D" w:rsidRPr="005B56DA" w:rsidRDefault="00F8525D" w:rsidP="007F39BC">
      <w:pPr>
        <w:pStyle w:val="ListParagraph"/>
        <w:ind w:left="0"/>
        <w:rPr>
          <w:rFonts w:cstheme="minorHAnsi"/>
          <w:b/>
          <w:bCs/>
        </w:rPr>
      </w:pPr>
      <w:r w:rsidRPr="005B56DA">
        <w:rPr>
          <w:rFonts w:cstheme="minorHAnsi"/>
        </w:rPr>
        <w:t xml:space="preserve">The </w:t>
      </w:r>
      <w:r w:rsidR="004E25B0">
        <w:rPr>
          <w:rFonts w:cstheme="minorHAnsi"/>
        </w:rPr>
        <w:t>Institutes’</w:t>
      </w:r>
      <w:r w:rsidRPr="005B56DA">
        <w:rPr>
          <w:rFonts w:cstheme="minorHAnsi"/>
        </w:rPr>
        <w:t xml:space="preserve"> Director is Professor Lorenzo Fioramonti support by Nathalie Hinds as </w:t>
      </w:r>
      <w:r w:rsidR="009F401F">
        <w:rPr>
          <w:rFonts w:cstheme="minorHAnsi"/>
        </w:rPr>
        <w:t>Head</w:t>
      </w:r>
      <w:r w:rsidR="009F401F" w:rsidRPr="005B56DA">
        <w:rPr>
          <w:rFonts w:cstheme="minorHAnsi"/>
        </w:rPr>
        <w:t xml:space="preserve"> </w:t>
      </w:r>
      <w:r w:rsidRPr="005B56DA">
        <w:rPr>
          <w:rFonts w:cstheme="minorHAnsi"/>
        </w:rPr>
        <w:t xml:space="preserve">of Operations and Partnerships. </w:t>
      </w:r>
      <w:r w:rsidR="00FD6D4E">
        <w:rPr>
          <w:rFonts w:cstheme="minorHAnsi"/>
        </w:rPr>
        <w:t>Lorenzo and Nathalie are supported by a team</w:t>
      </w:r>
      <w:r w:rsidR="009F401F">
        <w:rPr>
          <w:rFonts w:cstheme="minorHAnsi"/>
        </w:rPr>
        <w:t xml:space="preserve"> including</w:t>
      </w:r>
      <w:r w:rsidR="00FD6D4E">
        <w:rPr>
          <w:rFonts w:cstheme="minorHAnsi"/>
        </w:rPr>
        <w:t xml:space="preserve"> </w:t>
      </w:r>
      <w:r w:rsidR="00DD55D7">
        <w:rPr>
          <w:rFonts w:cstheme="minorHAnsi"/>
        </w:rPr>
        <w:t>Pina Stamp (Institute Administrator)</w:t>
      </w:r>
      <w:r w:rsidR="009F401F">
        <w:rPr>
          <w:rFonts w:cstheme="minorHAnsi"/>
        </w:rPr>
        <w:t xml:space="preserve">, Amy Pye (Research Manager) </w:t>
      </w:r>
      <w:r w:rsidR="00DD55D7">
        <w:rPr>
          <w:rFonts w:cstheme="minorHAnsi"/>
        </w:rPr>
        <w:t xml:space="preserve">and Lydia </w:t>
      </w:r>
      <w:r w:rsidR="00B0559C">
        <w:rPr>
          <w:rFonts w:cstheme="minorHAnsi"/>
        </w:rPr>
        <w:t>Melville (</w:t>
      </w:r>
      <w:r w:rsidR="009F401F">
        <w:rPr>
          <w:rFonts w:cstheme="minorHAnsi"/>
        </w:rPr>
        <w:t>C</w:t>
      </w:r>
      <w:r w:rsidR="00B0559C">
        <w:rPr>
          <w:rFonts w:cstheme="minorHAnsi"/>
        </w:rPr>
        <w:t>ommunications</w:t>
      </w:r>
      <w:r w:rsidR="009F401F">
        <w:rPr>
          <w:rFonts w:cstheme="minorHAnsi"/>
        </w:rPr>
        <w:t xml:space="preserve"> Officer</w:t>
      </w:r>
      <w:r w:rsidR="00B0559C">
        <w:rPr>
          <w:rFonts w:cstheme="minorHAnsi"/>
        </w:rPr>
        <w:t>) and has</w:t>
      </w:r>
      <w:r w:rsidRPr="005B56DA">
        <w:rPr>
          <w:rFonts w:cstheme="minorHAnsi"/>
        </w:rPr>
        <w:t xml:space="preserve"> recruit</w:t>
      </w:r>
      <w:r w:rsidR="00B0559C">
        <w:rPr>
          <w:rFonts w:cstheme="minorHAnsi"/>
        </w:rPr>
        <w:t>ed</w:t>
      </w:r>
      <w:r w:rsidRPr="005B56DA">
        <w:rPr>
          <w:rFonts w:cstheme="minorHAnsi"/>
        </w:rPr>
        <w:t xml:space="preserve"> three co-directors (one per faculty)</w:t>
      </w:r>
      <w:r w:rsidR="00B0559C">
        <w:rPr>
          <w:rFonts w:cstheme="minorHAnsi"/>
        </w:rPr>
        <w:t xml:space="preserve">, </w:t>
      </w:r>
      <w:r w:rsidR="00D81F08">
        <w:rPr>
          <w:rFonts w:cstheme="minorHAnsi"/>
        </w:rPr>
        <w:t>Professor Prashant Kumar, Professor Monique Raats and Dr Tom Roberts</w:t>
      </w:r>
      <w:r w:rsidR="006B5809">
        <w:rPr>
          <w:rFonts w:cstheme="minorHAnsi"/>
        </w:rPr>
        <w:t xml:space="preserve"> – who </w:t>
      </w:r>
      <w:r w:rsidR="009F401F">
        <w:rPr>
          <w:rFonts w:cstheme="minorHAnsi"/>
        </w:rPr>
        <w:t xml:space="preserve">supports </w:t>
      </w:r>
      <w:r w:rsidRPr="005B56DA">
        <w:rPr>
          <w:rFonts w:cstheme="minorHAnsi"/>
        </w:rPr>
        <w:t xml:space="preserve">the </w:t>
      </w:r>
      <w:r w:rsidR="009F401F">
        <w:rPr>
          <w:rFonts w:cstheme="minorHAnsi"/>
        </w:rPr>
        <w:t xml:space="preserve">research activity of the Fellows (230 across the University) and the Institute Programme leads (15). </w:t>
      </w:r>
    </w:p>
    <w:p w14:paraId="6C639215" w14:textId="42E8293D" w:rsidR="00F8525D" w:rsidRPr="005B56DA" w:rsidRDefault="00F8525D" w:rsidP="00F8525D">
      <w:pPr>
        <w:pStyle w:val="ListParagraph"/>
        <w:ind w:left="360"/>
        <w:rPr>
          <w:rFonts w:cstheme="minorHAnsi"/>
        </w:rPr>
      </w:pPr>
    </w:p>
    <w:p w14:paraId="7E08F918" w14:textId="77777777" w:rsidR="003B40D2" w:rsidRPr="004E25B0" w:rsidRDefault="009F401F" w:rsidP="00467DE7">
      <w:pPr>
        <w:pStyle w:val="ListParagraph"/>
        <w:ind w:left="0"/>
        <w:rPr>
          <w:rFonts w:cstheme="minorHAnsi"/>
        </w:rPr>
      </w:pPr>
      <w:r w:rsidRPr="004E25B0">
        <w:rPr>
          <w:rFonts w:cstheme="minorHAnsi"/>
        </w:rPr>
        <w:t>The Institute is governed by two strateg</w:t>
      </w:r>
      <w:r w:rsidR="003B40D2" w:rsidRPr="004E25B0">
        <w:rPr>
          <w:rFonts w:cstheme="minorHAnsi"/>
        </w:rPr>
        <w:t>ic</w:t>
      </w:r>
      <w:r w:rsidRPr="004E25B0">
        <w:rPr>
          <w:rFonts w:cstheme="minorHAnsi"/>
        </w:rPr>
        <w:t xml:space="preserve"> boards</w:t>
      </w:r>
      <w:r w:rsidR="003B40D2" w:rsidRPr="004E25B0">
        <w:rPr>
          <w:rFonts w:cstheme="minorHAnsi"/>
        </w:rPr>
        <w:t xml:space="preserve">: </w:t>
      </w:r>
    </w:p>
    <w:p w14:paraId="71071BEE" w14:textId="3EA7F106" w:rsidR="003B40D2" w:rsidRPr="004E25B0" w:rsidRDefault="009F401F" w:rsidP="00467DE7">
      <w:pPr>
        <w:pStyle w:val="ListParagraph"/>
        <w:numPr>
          <w:ilvl w:val="0"/>
          <w:numId w:val="30"/>
        </w:numPr>
        <w:rPr>
          <w:rFonts w:cstheme="minorHAnsi"/>
        </w:rPr>
      </w:pPr>
      <w:r w:rsidRPr="004E25B0">
        <w:rPr>
          <w:rFonts w:cstheme="minorHAnsi"/>
        </w:rPr>
        <w:t xml:space="preserve">A Steering </w:t>
      </w:r>
      <w:r w:rsidR="003B40D2" w:rsidRPr="004E25B0">
        <w:rPr>
          <w:rFonts w:cstheme="minorHAnsi"/>
        </w:rPr>
        <w:t>B</w:t>
      </w:r>
      <w:r w:rsidRPr="004E25B0">
        <w:rPr>
          <w:rFonts w:cstheme="minorHAnsi"/>
        </w:rPr>
        <w:t>oard</w:t>
      </w:r>
      <w:r w:rsidR="003B40D2" w:rsidRPr="004E25B0">
        <w:rPr>
          <w:rFonts w:cstheme="minorHAnsi"/>
        </w:rPr>
        <w:t>, made up of internal senior stakeholders, chaired by Bob Nichols who reflect on the Institute’s achievements and pan-university activity. They have met in Feb and June 2023 and are due to meet again on the 15</w:t>
      </w:r>
      <w:r w:rsidR="003B40D2" w:rsidRPr="004E25B0">
        <w:rPr>
          <w:rFonts w:cstheme="minorHAnsi"/>
          <w:vertAlign w:val="superscript"/>
        </w:rPr>
        <w:t>th</w:t>
      </w:r>
      <w:r w:rsidR="003B40D2" w:rsidRPr="004E25B0">
        <w:rPr>
          <w:rFonts w:cstheme="minorHAnsi"/>
        </w:rPr>
        <w:t xml:space="preserve"> November 2023.</w:t>
      </w:r>
    </w:p>
    <w:p w14:paraId="5F82DB81" w14:textId="0D8BF532" w:rsidR="00F8525D" w:rsidRPr="004E25B0" w:rsidRDefault="003B40D2" w:rsidP="003B40D2">
      <w:pPr>
        <w:pStyle w:val="ListParagraph"/>
        <w:numPr>
          <w:ilvl w:val="0"/>
          <w:numId w:val="30"/>
        </w:numPr>
        <w:rPr>
          <w:rFonts w:cstheme="minorHAnsi"/>
        </w:rPr>
      </w:pPr>
      <w:r w:rsidRPr="004E25B0">
        <w:rPr>
          <w:rFonts w:cstheme="minorHAnsi"/>
        </w:rPr>
        <w:t xml:space="preserve">A strategic </w:t>
      </w:r>
      <w:r w:rsidR="009F401F" w:rsidRPr="004E25B0">
        <w:rPr>
          <w:rFonts w:cstheme="minorHAnsi"/>
        </w:rPr>
        <w:t>Advisory Board</w:t>
      </w:r>
      <w:r w:rsidRPr="004E25B0">
        <w:rPr>
          <w:rFonts w:cstheme="minorHAnsi"/>
        </w:rPr>
        <w:t>, including external senior stakeholder, chaired by Dr Victoria Hurth, who support the institute’s future plans, direction and growth. Their first meeting will be on the 15</w:t>
      </w:r>
      <w:r w:rsidRPr="004E25B0">
        <w:rPr>
          <w:rFonts w:cstheme="minorHAnsi"/>
          <w:vertAlign w:val="superscript"/>
        </w:rPr>
        <w:t>th</w:t>
      </w:r>
      <w:r w:rsidRPr="004E25B0">
        <w:rPr>
          <w:rFonts w:cstheme="minorHAnsi"/>
        </w:rPr>
        <w:t xml:space="preserve"> November. </w:t>
      </w:r>
    </w:p>
    <w:p w14:paraId="5E677456" w14:textId="66F9E878" w:rsidR="003B40D2" w:rsidRDefault="003B40D2" w:rsidP="003B40D2">
      <w:pPr>
        <w:rPr>
          <w:rFonts w:cstheme="minorHAnsi"/>
        </w:rPr>
      </w:pPr>
      <w:r>
        <w:rPr>
          <w:rFonts w:cstheme="minorHAnsi"/>
        </w:rPr>
        <w:t>Both groups will get an opportunity to meet each other in person for the first time on the 15</w:t>
      </w:r>
      <w:r w:rsidRPr="00467DE7">
        <w:rPr>
          <w:rFonts w:cstheme="minorHAnsi"/>
          <w:vertAlign w:val="superscript"/>
        </w:rPr>
        <w:t>th</w:t>
      </w:r>
      <w:r>
        <w:rPr>
          <w:rFonts w:cstheme="minorHAnsi"/>
        </w:rPr>
        <w:t xml:space="preserve"> November 2023.</w:t>
      </w:r>
    </w:p>
    <w:p w14:paraId="49E4567E" w14:textId="6DCEDBC7" w:rsidR="00DF37A2" w:rsidRDefault="00DF37A2" w:rsidP="003B40D2">
      <w:pPr>
        <w:rPr>
          <w:rFonts w:cstheme="minorHAnsi"/>
        </w:rPr>
      </w:pPr>
      <w:r>
        <w:rPr>
          <w:rFonts w:cstheme="minorHAnsi"/>
        </w:rPr>
        <w:t xml:space="preserve">As part of its </w:t>
      </w:r>
      <w:r w:rsidR="007F39BC">
        <w:rPr>
          <w:rFonts w:cstheme="minorHAnsi"/>
        </w:rPr>
        <w:t xml:space="preserve">regular </w:t>
      </w:r>
      <w:r>
        <w:rPr>
          <w:rFonts w:cstheme="minorHAnsi"/>
        </w:rPr>
        <w:t xml:space="preserve">report to the Steering </w:t>
      </w:r>
      <w:r w:rsidR="007F39BC">
        <w:rPr>
          <w:rFonts w:cstheme="minorHAnsi"/>
        </w:rPr>
        <w:t>B</w:t>
      </w:r>
      <w:r>
        <w:rPr>
          <w:rFonts w:cstheme="minorHAnsi"/>
        </w:rPr>
        <w:t>oard, the Institute highlighted:</w:t>
      </w:r>
    </w:p>
    <w:p w14:paraId="0113863E" w14:textId="5D9AC9AE" w:rsidR="00DF37A2" w:rsidRDefault="00DF37A2" w:rsidP="00DF37A2">
      <w:pPr>
        <w:pStyle w:val="ListParagraph"/>
        <w:numPr>
          <w:ilvl w:val="0"/>
          <w:numId w:val="31"/>
        </w:numPr>
        <w:rPr>
          <w:rFonts w:cstheme="minorHAnsi"/>
        </w:rPr>
      </w:pPr>
      <w:r>
        <w:rPr>
          <w:rFonts w:cstheme="minorHAnsi"/>
        </w:rPr>
        <w:t xml:space="preserve">Fast </w:t>
      </w:r>
      <w:r w:rsidRPr="00DF37A2">
        <w:rPr>
          <w:rFonts w:cstheme="minorHAnsi"/>
        </w:rPr>
        <w:t>growing transdisciplinary research activity (currently £</w:t>
      </w:r>
      <w:r w:rsidR="007F39BC">
        <w:rPr>
          <w:rFonts w:cstheme="minorHAnsi"/>
        </w:rPr>
        <w:t>90</w:t>
      </w:r>
      <w:r w:rsidRPr="00DF37A2">
        <w:rPr>
          <w:rFonts w:cstheme="minorHAnsi"/>
        </w:rPr>
        <w:t>m+ of bid activity)</w:t>
      </w:r>
    </w:p>
    <w:p w14:paraId="09E6A76C" w14:textId="612CB9C8" w:rsidR="00DF37A2" w:rsidRDefault="007F39BC" w:rsidP="00DF37A2">
      <w:pPr>
        <w:pStyle w:val="ListParagraph"/>
        <w:numPr>
          <w:ilvl w:val="0"/>
          <w:numId w:val="31"/>
        </w:numPr>
        <w:rPr>
          <w:rFonts w:cstheme="minorHAnsi"/>
        </w:rPr>
      </w:pPr>
      <w:r>
        <w:rPr>
          <w:rFonts w:cstheme="minorHAnsi"/>
        </w:rPr>
        <w:t>Strong i</w:t>
      </w:r>
      <w:r w:rsidR="00DF37A2">
        <w:rPr>
          <w:rFonts w:cstheme="minorHAnsi"/>
        </w:rPr>
        <w:t xml:space="preserve">nternal and external engagement and knowledge exchange measured in event contributions, visitors to the institute, social media followers and new partners </w:t>
      </w:r>
      <w:r>
        <w:rPr>
          <w:rFonts w:cstheme="minorHAnsi"/>
        </w:rPr>
        <w:t>onboarded, and</w:t>
      </w:r>
    </w:p>
    <w:p w14:paraId="5107D047" w14:textId="5AA7A7D1" w:rsidR="007F39BC" w:rsidRPr="007F39BC" w:rsidRDefault="007F39BC" w:rsidP="00467DE7">
      <w:pPr>
        <w:pStyle w:val="ListParagraph"/>
        <w:numPr>
          <w:ilvl w:val="0"/>
          <w:numId w:val="31"/>
        </w:numPr>
        <w:rPr>
          <w:rFonts w:cstheme="minorHAnsi"/>
        </w:rPr>
      </w:pPr>
      <w:r>
        <w:rPr>
          <w:rFonts w:cstheme="minorHAnsi"/>
        </w:rPr>
        <w:t>A successful PR campaign with the launch of ‘Remember the Future’, a multi-award-winning animation designed to share the vision of the Institute.</w:t>
      </w:r>
    </w:p>
    <w:p w14:paraId="1944107B" w14:textId="77777777" w:rsidR="00F8525D" w:rsidRPr="00587D29" w:rsidRDefault="00F8525D" w:rsidP="00587D29">
      <w:pPr>
        <w:rPr>
          <w:rFonts w:cstheme="minorHAnsi"/>
        </w:rPr>
      </w:pPr>
    </w:p>
    <w:p w14:paraId="2F9DDD0B" w14:textId="1658DA6A" w:rsidR="00F8525D" w:rsidRPr="00906254" w:rsidRDefault="000A499D" w:rsidP="00F8525D">
      <w:pPr>
        <w:pStyle w:val="ListParagraph"/>
        <w:numPr>
          <w:ilvl w:val="0"/>
          <w:numId w:val="2"/>
        </w:numPr>
        <w:jc w:val="both"/>
        <w:rPr>
          <w:rFonts w:cstheme="minorHAnsi"/>
          <w:b/>
          <w:bCs/>
          <w:sz w:val="24"/>
          <w:szCs w:val="24"/>
        </w:rPr>
      </w:pPr>
      <w:r>
        <w:rPr>
          <w:rFonts w:cstheme="minorHAnsi"/>
          <w:b/>
          <w:bCs/>
          <w:sz w:val="24"/>
          <w:szCs w:val="24"/>
        </w:rPr>
        <w:t>Net Zero Carbon</w:t>
      </w:r>
    </w:p>
    <w:p w14:paraId="0731EF45" w14:textId="13FADBB9" w:rsidR="005F3E73" w:rsidRDefault="00AD2F64" w:rsidP="00B351FE">
      <w:pPr>
        <w:autoSpaceDE w:val="0"/>
        <w:autoSpaceDN w:val="0"/>
        <w:adjustRightInd w:val="0"/>
        <w:ind w:left="360"/>
        <w:rPr>
          <w:rFonts w:cstheme="minorHAnsi"/>
          <w:color w:val="000000" w:themeColor="text1"/>
        </w:rPr>
      </w:pPr>
      <w:r>
        <w:rPr>
          <w:rFonts w:cstheme="minorHAnsi"/>
          <w:color w:val="000000" w:themeColor="text1"/>
        </w:rPr>
        <w:t xml:space="preserve">We </w:t>
      </w:r>
      <w:r w:rsidR="005F3E73" w:rsidRPr="00885AB0">
        <w:rPr>
          <w:rFonts w:cstheme="minorHAnsi"/>
          <w:color w:val="000000" w:themeColor="text1"/>
        </w:rPr>
        <w:t xml:space="preserve">cut our Scopes 1 and 2 emissions by </w:t>
      </w:r>
      <w:r w:rsidR="005F3E73">
        <w:rPr>
          <w:rFonts w:cstheme="minorHAnsi"/>
          <w:color w:val="000000" w:themeColor="text1"/>
        </w:rPr>
        <w:t>24</w:t>
      </w:r>
      <w:r w:rsidR="005F3E73" w:rsidRPr="00885AB0">
        <w:rPr>
          <w:rFonts w:cstheme="minorHAnsi"/>
          <w:color w:val="000000" w:themeColor="text1"/>
        </w:rPr>
        <w:t>%, compared to our base year of 20</w:t>
      </w:r>
      <w:r w:rsidR="00466B60">
        <w:rPr>
          <w:rFonts w:cstheme="minorHAnsi"/>
          <w:color w:val="000000" w:themeColor="text1"/>
        </w:rPr>
        <w:t>17/18</w:t>
      </w:r>
      <w:r w:rsidR="005F3E73" w:rsidRPr="00885AB0">
        <w:rPr>
          <w:rFonts w:cstheme="minorHAnsi"/>
          <w:color w:val="000000" w:themeColor="text1"/>
        </w:rPr>
        <w:t>.</w:t>
      </w:r>
    </w:p>
    <w:tbl>
      <w:tblPr>
        <w:tblStyle w:val="TableGrid"/>
        <w:tblW w:w="9016" w:type="dxa"/>
        <w:tblInd w:w="360" w:type="dxa"/>
        <w:tblLook w:val="04A0" w:firstRow="1" w:lastRow="0" w:firstColumn="1" w:lastColumn="0" w:noHBand="0" w:noVBand="1"/>
      </w:tblPr>
      <w:tblGrid>
        <w:gridCol w:w="2435"/>
        <w:gridCol w:w="2297"/>
        <w:gridCol w:w="2276"/>
        <w:gridCol w:w="2008"/>
      </w:tblGrid>
      <w:tr w:rsidR="005F3E73" w14:paraId="18479491" w14:textId="77777777" w:rsidTr="00B351FE">
        <w:tc>
          <w:tcPr>
            <w:tcW w:w="2435" w:type="dxa"/>
          </w:tcPr>
          <w:p w14:paraId="21B4E6C3" w14:textId="77777777" w:rsidR="005F3E73" w:rsidRDefault="005F3E73" w:rsidP="00207388">
            <w:pPr>
              <w:autoSpaceDE w:val="0"/>
              <w:autoSpaceDN w:val="0"/>
              <w:adjustRightInd w:val="0"/>
              <w:jc w:val="center"/>
              <w:rPr>
                <w:rFonts w:cstheme="minorHAnsi"/>
                <w:color w:val="000000" w:themeColor="text1"/>
              </w:rPr>
            </w:pPr>
          </w:p>
        </w:tc>
        <w:tc>
          <w:tcPr>
            <w:tcW w:w="2297" w:type="dxa"/>
          </w:tcPr>
          <w:p w14:paraId="34057F43"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2017/18 (Baseline Year)</w:t>
            </w:r>
          </w:p>
        </w:tc>
        <w:tc>
          <w:tcPr>
            <w:tcW w:w="2276" w:type="dxa"/>
          </w:tcPr>
          <w:p w14:paraId="51EFFE90"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2022/23</w:t>
            </w:r>
          </w:p>
        </w:tc>
        <w:tc>
          <w:tcPr>
            <w:tcW w:w="2008" w:type="dxa"/>
          </w:tcPr>
          <w:p w14:paraId="7F05B040"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Reduction</w:t>
            </w:r>
          </w:p>
        </w:tc>
      </w:tr>
      <w:tr w:rsidR="005F3E73" w14:paraId="6F0EF6C2" w14:textId="77777777" w:rsidTr="00B351FE">
        <w:tc>
          <w:tcPr>
            <w:tcW w:w="2435" w:type="dxa"/>
          </w:tcPr>
          <w:p w14:paraId="0D1B4855"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Carbon Emissions (scope 1 &amp; 2)</w:t>
            </w:r>
            <w:bookmarkStart w:id="0" w:name="_Hlk150165244"/>
            <w:r>
              <w:rPr>
                <w:rFonts w:cstheme="minorHAnsi"/>
                <w:color w:val="000000" w:themeColor="text1"/>
              </w:rPr>
              <w:t xml:space="preserve"> </w:t>
            </w:r>
            <w:bookmarkStart w:id="1" w:name="_Hlk149897667"/>
            <w:r>
              <w:rPr>
                <w:rFonts w:cstheme="minorHAnsi"/>
                <w:color w:val="000000" w:themeColor="text1"/>
              </w:rPr>
              <w:t>tCO</w:t>
            </w:r>
            <w:r w:rsidRPr="0010638A">
              <w:rPr>
                <w:rFonts w:cstheme="minorHAnsi"/>
                <w:color w:val="000000" w:themeColor="text1"/>
                <w:vertAlign w:val="subscript"/>
              </w:rPr>
              <w:t>2</w:t>
            </w:r>
            <w:r>
              <w:rPr>
                <w:rFonts w:cstheme="minorHAnsi"/>
                <w:color w:val="000000" w:themeColor="text1"/>
              </w:rPr>
              <w:t>e</w:t>
            </w:r>
            <w:bookmarkEnd w:id="0"/>
            <w:bookmarkEnd w:id="1"/>
          </w:p>
        </w:tc>
        <w:tc>
          <w:tcPr>
            <w:tcW w:w="2297" w:type="dxa"/>
          </w:tcPr>
          <w:p w14:paraId="6AB2AD8F"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19,470</w:t>
            </w:r>
          </w:p>
        </w:tc>
        <w:tc>
          <w:tcPr>
            <w:tcW w:w="2276" w:type="dxa"/>
          </w:tcPr>
          <w:p w14:paraId="63B92821"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14,975</w:t>
            </w:r>
          </w:p>
        </w:tc>
        <w:tc>
          <w:tcPr>
            <w:tcW w:w="2008" w:type="dxa"/>
          </w:tcPr>
          <w:p w14:paraId="51456A61" w14:textId="77777777" w:rsidR="005F3E73" w:rsidRDefault="005F3E73" w:rsidP="00207388">
            <w:pPr>
              <w:autoSpaceDE w:val="0"/>
              <w:autoSpaceDN w:val="0"/>
              <w:adjustRightInd w:val="0"/>
              <w:jc w:val="center"/>
              <w:rPr>
                <w:rFonts w:cstheme="minorHAnsi"/>
                <w:color w:val="000000" w:themeColor="text1"/>
              </w:rPr>
            </w:pPr>
            <w:r>
              <w:rPr>
                <w:rFonts w:cstheme="minorHAnsi"/>
                <w:color w:val="000000" w:themeColor="text1"/>
              </w:rPr>
              <w:t>24%</w:t>
            </w:r>
          </w:p>
        </w:tc>
      </w:tr>
    </w:tbl>
    <w:p w14:paraId="2C1D636B" w14:textId="77777777" w:rsidR="005F3E73" w:rsidRDefault="005F3E73" w:rsidP="00B351FE">
      <w:pPr>
        <w:autoSpaceDE w:val="0"/>
        <w:autoSpaceDN w:val="0"/>
        <w:adjustRightInd w:val="0"/>
        <w:ind w:left="360"/>
        <w:rPr>
          <w:rFonts w:cstheme="minorHAnsi"/>
          <w:color w:val="000000" w:themeColor="text1"/>
        </w:rPr>
      </w:pPr>
    </w:p>
    <w:p w14:paraId="7697BCF2" w14:textId="67B58036" w:rsidR="000448D6" w:rsidRDefault="00D954D9" w:rsidP="00B61CAE">
      <w:pPr>
        <w:autoSpaceDE w:val="0"/>
        <w:autoSpaceDN w:val="0"/>
        <w:adjustRightInd w:val="0"/>
        <w:ind w:left="360"/>
        <w:rPr>
          <w:rFonts w:cstheme="minorHAnsi"/>
          <w:color w:val="000000" w:themeColor="text1"/>
        </w:rPr>
      </w:pPr>
      <w:r>
        <w:rPr>
          <w:rFonts w:cstheme="minorHAnsi"/>
          <w:color w:val="000000" w:themeColor="text1"/>
        </w:rPr>
        <w:t xml:space="preserve">Scope 1 emissions are made up primarily from gas consumption </w:t>
      </w:r>
      <w:r w:rsidR="00101203">
        <w:rPr>
          <w:rFonts w:cstheme="minorHAnsi"/>
          <w:color w:val="000000" w:themeColor="text1"/>
        </w:rPr>
        <w:t xml:space="preserve">and equate to about 53% of total emissions, with </w:t>
      </w:r>
      <w:r w:rsidR="00960BF2">
        <w:rPr>
          <w:rFonts w:cstheme="minorHAnsi"/>
          <w:color w:val="000000" w:themeColor="text1"/>
        </w:rPr>
        <w:t xml:space="preserve">electricity </w:t>
      </w:r>
      <w:r w:rsidR="00BA4A83">
        <w:rPr>
          <w:rFonts w:cstheme="minorHAnsi"/>
          <w:color w:val="000000" w:themeColor="text1"/>
        </w:rPr>
        <w:t xml:space="preserve">making up scope 2 emissions and totalling </w:t>
      </w:r>
      <w:r w:rsidR="00BA4B3D">
        <w:rPr>
          <w:rFonts w:cstheme="minorHAnsi"/>
          <w:color w:val="000000" w:themeColor="text1"/>
        </w:rPr>
        <w:t>47%.</w:t>
      </w:r>
    </w:p>
    <w:p w14:paraId="7E7BCBEB" w14:textId="3638761E" w:rsidR="005F3E73" w:rsidRDefault="005F3E73" w:rsidP="00B351FE">
      <w:pPr>
        <w:autoSpaceDE w:val="0"/>
        <w:autoSpaceDN w:val="0"/>
        <w:adjustRightInd w:val="0"/>
        <w:ind w:left="360"/>
        <w:rPr>
          <w:rFonts w:cstheme="minorHAnsi"/>
          <w:color w:val="000000" w:themeColor="text1"/>
        </w:rPr>
      </w:pPr>
      <w:r>
        <w:rPr>
          <w:rFonts w:cstheme="minorHAnsi"/>
          <w:color w:val="000000" w:themeColor="text1"/>
        </w:rPr>
        <w:t xml:space="preserve">We have recast our carbon activity setting out an 8-point framework to reach NZC by 2030. </w:t>
      </w:r>
      <w:r w:rsidRPr="00EB2362">
        <w:rPr>
          <w:rFonts w:cstheme="minorHAnsi"/>
          <w:color w:val="000000" w:themeColor="text1"/>
        </w:rPr>
        <w:t>To achieve our emissions targets, we are reducing our demand,</w:t>
      </w:r>
      <w:r>
        <w:rPr>
          <w:rFonts w:cstheme="minorHAnsi"/>
          <w:color w:val="000000" w:themeColor="text1"/>
        </w:rPr>
        <w:t xml:space="preserve"> ensuring all refurbishments and new builds are NZC ready, optimising the space we have,</w:t>
      </w:r>
      <w:r w:rsidRPr="00EB2362">
        <w:rPr>
          <w:rFonts w:cstheme="minorHAnsi"/>
          <w:color w:val="000000" w:themeColor="text1"/>
        </w:rPr>
        <w:t xml:space="preserve"> increasing on-site renewable energy generation, increasing the amount of energy purchased from verified renewable sources, and considering how transparent </w:t>
      </w:r>
      <w:r>
        <w:rPr>
          <w:rFonts w:cstheme="minorHAnsi"/>
          <w:color w:val="000000" w:themeColor="text1"/>
        </w:rPr>
        <w:t xml:space="preserve">offsetting </w:t>
      </w:r>
      <w:r w:rsidRPr="00EB2362">
        <w:rPr>
          <w:rFonts w:cstheme="minorHAnsi"/>
          <w:color w:val="000000" w:themeColor="text1"/>
        </w:rPr>
        <w:t>schemes can cover what we can’t eliminate.</w:t>
      </w:r>
    </w:p>
    <w:p w14:paraId="6E4B0495" w14:textId="77777777" w:rsidR="005F3E73" w:rsidRPr="00EB2362" w:rsidRDefault="005F3E73" w:rsidP="00B351FE">
      <w:pPr>
        <w:autoSpaceDE w:val="0"/>
        <w:autoSpaceDN w:val="0"/>
        <w:adjustRightInd w:val="0"/>
        <w:ind w:left="360"/>
        <w:rPr>
          <w:rFonts w:cstheme="minorHAnsi"/>
          <w:color w:val="000000" w:themeColor="text1"/>
        </w:rPr>
      </w:pPr>
      <w:r w:rsidRPr="003A235F">
        <w:rPr>
          <w:rFonts w:cstheme="minorHAnsi"/>
          <w:color w:val="000000" w:themeColor="text1"/>
        </w:rPr>
        <w:t>We have also mapped our scope 3 emissions, these total 68,950 tCO</w:t>
      </w:r>
      <w:r w:rsidRPr="002E60F6">
        <w:rPr>
          <w:rFonts w:cstheme="minorHAnsi"/>
          <w:color w:val="000000" w:themeColor="text1"/>
          <w:vertAlign w:val="subscript"/>
        </w:rPr>
        <w:t>2</w:t>
      </w:r>
      <w:r w:rsidRPr="003A235F">
        <w:rPr>
          <w:rFonts w:cstheme="minorHAnsi"/>
          <w:color w:val="000000" w:themeColor="text1"/>
        </w:rPr>
        <w:t xml:space="preserve">e annually, with goods in the supply chain totally 82% of emissions, with a majority of the rest made up of travel (business and commuting). A plan for reducing our scope 3 emissions has been developed, with actions </w:t>
      </w:r>
      <w:r>
        <w:rPr>
          <w:rFonts w:cstheme="minorHAnsi"/>
          <w:color w:val="000000" w:themeColor="text1"/>
        </w:rPr>
        <w:t>focusing on working with our supplies to reduce the carbon footprint of a range of products and services.</w:t>
      </w:r>
    </w:p>
    <w:p w14:paraId="4EFBBF0A" w14:textId="77777777" w:rsidR="005F3E73" w:rsidRDefault="005F3E73" w:rsidP="00B351FE">
      <w:pPr>
        <w:autoSpaceDE w:val="0"/>
        <w:autoSpaceDN w:val="0"/>
        <w:adjustRightInd w:val="0"/>
        <w:ind w:left="360"/>
        <w:rPr>
          <w:rFonts w:cstheme="minorHAnsi"/>
          <w:color w:val="000000" w:themeColor="text1"/>
        </w:rPr>
      </w:pPr>
      <w:r w:rsidRPr="00EB2362">
        <w:rPr>
          <w:rFonts w:cstheme="minorHAnsi"/>
          <w:color w:val="000000" w:themeColor="text1"/>
        </w:rPr>
        <w:t xml:space="preserve">We </w:t>
      </w:r>
      <w:r>
        <w:rPr>
          <w:rFonts w:cstheme="minorHAnsi"/>
          <w:color w:val="000000" w:themeColor="text1"/>
        </w:rPr>
        <w:t>submitted</w:t>
      </w:r>
      <w:r w:rsidRPr="00EB2362">
        <w:rPr>
          <w:rFonts w:cstheme="minorHAnsi"/>
          <w:color w:val="000000" w:themeColor="text1"/>
        </w:rPr>
        <w:t xml:space="preserve"> our planning permission to install a solar farm on campus land. When working at peak capacity, the farm will be able to supply all the electricity for our Stag Hill campus.</w:t>
      </w:r>
      <w:r>
        <w:rPr>
          <w:rFonts w:cstheme="minorHAnsi"/>
          <w:color w:val="000000" w:themeColor="text1"/>
        </w:rPr>
        <w:t xml:space="preserve"> Further solar installations are planned for the Sports Park (700kw) and for the research park.</w:t>
      </w:r>
    </w:p>
    <w:p w14:paraId="34144B2E" w14:textId="6282DA8F" w:rsidR="00A114CC" w:rsidRPr="00EB2362" w:rsidRDefault="00A114CC" w:rsidP="00B351FE">
      <w:pPr>
        <w:autoSpaceDE w:val="0"/>
        <w:autoSpaceDN w:val="0"/>
        <w:adjustRightInd w:val="0"/>
        <w:ind w:left="360"/>
        <w:rPr>
          <w:rFonts w:cstheme="minorHAnsi"/>
          <w:color w:val="000000" w:themeColor="text1"/>
        </w:rPr>
      </w:pPr>
      <w:r>
        <w:rPr>
          <w:rFonts w:cstheme="minorHAnsi"/>
          <w:color w:val="000000" w:themeColor="text1"/>
        </w:rPr>
        <w:t xml:space="preserve">The decarbonisation project for heat </w:t>
      </w:r>
      <w:r w:rsidR="00EF3187">
        <w:rPr>
          <w:rFonts w:cstheme="minorHAnsi"/>
          <w:color w:val="000000" w:themeColor="text1"/>
        </w:rPr>
        <w:t>reported last year has been put on hold</w:t>
      </w:r>
      <w:r w:rsidR="00D3663A">
        <w:rPr>
          <w:rFonts w:cstheme="minorHAnsi"/>
          <w:color w:val="000000" w:themeColor="text1"/>
        </w:rPr>
        <w:t xml:space="preserve">. Even though a grant </w:t>
      </w:r>
      <w:r w:rsidR="006F0FF2">
        <w:rPr>
          <w:rFonts w:cstheme="minorHAnsi"/>
          <w:color w:val="000000" w:themeColor="text1"/>
        </w:rPr>
        <w:t xml:space="preserve">was </w:t>
      </w:r>
      <w:r w:rsidR="00D3663A">
        <w:rPr>
          <w:rFonts w:cstheme="minorHAnsi"/>
          <w:color w:val="000000" w:themeColor="text1"/>
        </w:rPr>
        <w:t>secured from the governments</w:t>
      </w:r>
      <w:r w:rsidR="006F0FF2">
        <w:rPr>
          <w:rFonts w:cstheme="minorHAnsi"/>
          <w:color w:val="000000" w:themeColor="text1"/>
        </w:rPr>
        <w:t>’</w:t>
      </w:r>
      <w:r w:rsidR="00D3663A">
        <w:rPr>
          <w:rFonts w:cstheme="minorHAnsi"/>
          <w:color w:val="000000" w:themeColor="text1"/>
        </w:rPr>
        <w:t xml:space="preserve"> Salix fund, this was not enough to cover the cost of the project</w:t>
      </w:r>
      <w:r w:rsidR="00AC5857">
        <w:rPr>
          <w:rFonts w:cstheme="minorHAnsi"/>
          <w:color w:val="000000" w:themeColor="text1"/>
        </w:rPr>
        <w:t xml:space="preserve">. An option is now being looked at to </w:t>
      </w:r>
      <w:r w:rsidR="006F0FF2">
        <w:rPr>
          <w:rFonts w:cstheme="minorHAnsi"/>
          <w:color w:val="000000" w:themeColor="text1"/>
        </w:rPr>
        <w:t xml:space="preserve">see </w:t>
      </w:r>
      <w:r w:rsidR="0059127B">
        <w:rPr>
          <w:rFonts w:cstheme="minorHAnsi"/>
          <w:color w:val="000000" w:themeColor="text1"/>
        </w:rPr>
        <w:t xml:space="preserve">how the use of solar power can </w:t>
      </w:r>
      <w:r w:rsidR="00893C9F">
        <w:rPr>
          <w:rFonts w:cstheme="minorHAnsi"/>
          <w:color w:val="000000" w:themeColor="text1"/>
        </w:rPr>
        <w:t xml:space="preserve">be used to drive </w:t>
      </w:r>
      <w:r w:rsidR="00694389">
        <w:rPr>
          <w:rFonts w:cstheme="minorHAnsi"/>
          <w:color w:val="000000" w:themeColor="text1"/>
        </w:rPr>
        <w:t>battery and heat banks.</w:t>
      </w:r>
    </w:p>
    <w:p w14:paraId="24D336B3" w14:textId="77777777" w:rsidR="0026775A" w:rsidRDefault="0026775A" w:rsidP="0026775A">
      <w:pPr>
        <w:pStyle w:val="ListParagraph"/>
        <w:ind w:left="360"/>
        <w:jc w:val="both"/>
        <w:rPr>
          <w:rFonts w:cstheme="minorHAnsi"/>
          <w:b/>
          <w:bCs/>
        </w:rPr>
      </w:pPr>
    </w:p>
    <w:p w14:paraId="15AFB8F2" w14:textId="3FC933C1" w:rsidR="0026775A" w:rsidRPr="00906254" w:rsidRDefault="0026775A" w:rsidP="000A499D">
      <w:pPr>
        <w:pStyle w:val="ListParagraph"/>
        <w:numPr>
          <w:ilvl w:val="0"/>
          <w:numId w:val="2"/>
        </w:numPr>
        <w:jc w:val="both"/>
        <w:rPr>
          <w:rFonts w:cstheme="minorHAnsi"/>
          <w:sz w:val="24"/>
          <w:szCs w:val="24"/>
        </w:rPr>
      </w:pPr>
      <w:r w:rsidRPr="00906254">
        <w:rPr>
          <w:rFonts w:cstheme="minorHAnsi"/>
          <w:b/>
          <w:bCs/>
          <w:sz w:val="24"/>
          <w:szCs w:val="24"/>
        </w:rPr>
        <w:t>Energy Cost and Consumption</w:t>
      </w:r>
    </w:p>
    <w:p w14:paraId="1156EAAB" w14:textId="77777777" w:rsidR="0026775A" w:rsidRPr="005B56DA" w:rsidRDefault="0026775A" w:rsidP="0026775A">
      <w:pPr>
        <w:pStyle w:val="ListParagraph"/>
        <w:ind w:left="360"/>
        <w:jc w:val="both"/>
        <w:rPr>
          <w:rFonts w:cstheme="minorHAnsi"/>
        </w:rPr>
      </w:pPr>
    </w:p>
    <w:p w14:paraId="4E7551ED" w14:textId="77777777" w:rsidR="0026775A" w:rsidRDefault="0026775A" w:rsidP="0026775A">
      <w:pPr>
        <w:pStyle w:val="ListParagraph"/>
        <w:ind w:left="360"/>
        <w:jc w:val="both"/>
        <w:rPr>
          <w:rFonts w:cstheme="minorHAnsi"/>
        </w:rPr>
      </w:pPr>
      <w:r w:rsidRPr="005B56DA">
        <w:rPr>
          <w:rFonts w:cstheme="minorHAnsi"/>
        </w:rPr>
        <w:t xml:space="preserve">The rapid increase in energy prices </w:t>
      </w:r>
      <w:r>
        <w:rPr>
          <w:rFonts w:cstheme="minorHAnsi"/>
        </w:rPr>
        <w:t xml:space="preserve">continues to </w:t>
      </w:r>
      <w:r w:rsidRPr="005B56DA">
        <w:rPr>
          <w:rFonts w:cstheme="minorHAnsi"/>
        </w:rPr>
        <w:t xml:space="preserve">pose a significant risk to the University.  </w:t>
      </w:r>
      <w:r>
        <w:rPr>
          <w:rFonts w:cstheme="minorHAnsi"/>
        </w:rPr>
        <w:t>The University has moved from a utility budget of £6.5million in 21/22 to a potential spend of £17.9million in 23/24.</w:t>
      </w:r>
    </w:p>
    <w:p w14:paraId="3F6164FC" w14:textId="77777777" w:rsidR="00614640" w:rsidRDefault="00614640" w:rsidP="0026775A">
      <w:pPr>
        <w:pStyle w:val="ListParagraph"/>
        <w:ind w:left="360"/>
        <w:jc w:val="both"/>
        <w:rPr>
          <w:rFonts w:cstheme="minorHAnsi"/>
        </w:rPr>
      </w:pPr>
    </w:p>
    <w:p w14:paraId="43551473" w14:textId="2BDA9F49" w:rsidR="00614640" w:rsidRDefault="00614640" w:rsidP="0026775A">
      <w:pPr>
        <w:pStyle w:val="ListParagraph"/>
        <w:ind w:left="360"/>
        <w:jc w:val="both"/>
        <w:rPr>
          <w:rFonts w:cstheme="minorHAnsi"/>
        </w:rPr>
      </w:pPr>
      <w:r>
        <w:rPr>
          <w:rFonts w:cstheme="minorHAnsi"/>
        </w:rPr>
        <w:t xml:space="preserve">To address the rising cost </w:t>
      </w:r>
      <w:r w:rsidR="00F51C6B">
        <w:rPr>
          <w:rFonts w:cstheme="minorHAnsi"/>
        </w:rPr>
        <w:t>several</w:t>
      </w:r>
      <w:r>
        <w:rPr>
          <w:rFonts w:cstheme="minorHAnsi"/>
        </w:rPr>
        <w:t xml:space="preserve"> measures are being applied </w:t>
      </w:r>
      <w:r w:rsidR="00F40754">
        <w:rPr>
          <w:rFonts w:cstheme="minorHAnsi"/>
        </w:rPr>
        <w:t>which will not only save cost but also reduce carbon emissions.</w:t>
      </w:r>
    </w:p>
    <w:p w14:paraId="1252967A" w14:textId="77777777" w:rsidR="00F40754" w:rsidRDefault="00F40754" w:rsidP="0026775A">
      <w:pPr>
        <w:pStyle w:val="ListParagraph"/>
        <w:ind w:left="360"/>
        <w:jc w:val="both"/>
        <w:rPr>
          <w:rFonts w:cstheme="minorHAnsi"/>
        </w:rPr>
      </w:pPr>
    </w:p>
    <w:p w14:paraId="571B9810" w14:textId="40DEA8FD" w:rsidR="00F40754" w:rsidRPr="005B56DA" w:rsidRDefault="00F40754" w:rsidP="0026775A">
      <w:pPr>
        <w:pStyle w:val="ListParagraph"/>
        <w:ind w:left="360"/>
        <w:jc w:val="both"/>
        <w:rPr>
          <w:rFonts w:cstheme="minorHAnsi"/>
        </w:rPr>
      </w:pPr>
      <w:r>
        <w:rPr>
          <w:rFonts w:cstheme="minorHAnsi"/>
        </w:rPr>
        <w:t>An</w:t>
      </w:r>
      <w:r w:rsidRPr="008E22DC">
        <w:rPr>
          <w:rFonts w:cstheme="minorHAnsi"/>
          <w:b/>
          <w:bCs/>
        </w:rPr>
        <w:t xml:space="preserve"> Energy Reduction </w:t>
      </w:r>
      <w:r w:rsidR="00246425" w:rsidRPr="008E22DC">
        <w:rPr>
          <w:rFonts w:cstheme="minorHAnsi"/>
          <w:b/>
          <w:bCs/>
        </w:rPr>
        <w:t xml:space="preserve">Group </w:t>
      </w:r>
      <w:r w:rsidR="00246425">
        <w:rPr>
          <w:rFonts w:cstheme="minorHAnsi"/>
        </w:rPr>
        <w:t xml:space="preserve">has been set up involving estates and campus services staff to focus on good </w:t>
      </w:r>
      <w:r w:rsidR="00F74C53">
        <w:rPr>
          <w:rFonts w:cstheme="minorHAnsi"/>
        </w:rPr>
        <w:t>housekeeping</w:t>
      </w:r>
      <w:r w:rsidR="00246425">
        <w:rPr>
          <w:rFonts w:cstheme="minorHAnsi"/>
        </w:rPr>
        <w:t xml:space="preserve"> </w:t>
      </w:r>
      <w:r w:rsidR="00F51C6B">
        <w:rPr>
          <w:rFonts w:cstheme="minorHAnsi"/>
        </w:rPr>
        <w:t xml:space="preserve">measures. </w:t>
      </w:r>
      <w:r w:rsidR="00D87804">
        <w:rPr>
          <w:rFonts w:cstheme="minorHAnsi"/>
        </w:rPr>
        <w:t xml:space="preserve">Measures include, control of build temperatures, </w:t>
      </w:r>
      <w:r w:rsidR="005A3648">
        <w:rPr>
          <w:rFonts w:cstheme="minorHAnsi"/>
        </w:rPr>
        <w:t xml:space="preserve">time schedules for heating, operation of air conditioning, </w:t>
      </w:r>
      <w:r w:rsidR="00237690">
        <w:rPr>
          <w:rFonts w:cstheme="minorHAnsi"/>
        </w:rPr>
        <w:t xml:space="preserve">server room management and </w:t>
      </w:r>
      <w:r w:rsidR="00232EFA">
        <w:rPr>
          <w:rFonts w:cstheme="minorHAnsi"/>
        </w:rPr>
        <w:t>ventilation control</w:t>
      </w:r>
      <w:r w:rsidR="004666A6">
        <w:rPr>
          <w:rFonts w:cstheme="minorHAnsi"/>
        </w:rPr>
        <w:t>.</w:t>
      </w:r>
      <w:r w:rsidR="00237690">
        <w:rPr>
          <w:rFonts w:cstheme="minorHAnsi"/>
        </w:rPr>
        <w:t xml:space="preserve"> </w:t>
      </w:r>
    </w:p>
    <w:p w14:paraId="05D4C698" w14:textId="77777777" w:rsidR="0026775A" w:rsidRDefault="0026775A" w:rsidP="0026775A">
      <w:pPr>
        <w:pStyle w:val="ListParagraph"/>
        <w:ind w:left="360"/>
        <w:jc w:val="both"/>
        <w:rPr>
          <w:rFonts w:cstheme="minorHAnsi"/>
        </w:rPr>
      </w:pPr>
    </w:p>
    <w:p w14:paraId="12569E58" w14:textId="58000B7A" w:rsidR="008C3D40" w:rsidRDefault="008C3D40" w:rsidP="0026775A">
      <w:pPr>
        <w:pStyle w:val="ListParagraph"/>
        <w:ind w:left="360"/>
        <w:jc w:val="both"/>
        <w:rPr>
          <w:rFonts w:cstheme="minorHAnsi"/>
        </w:rPr>
      </w:pPr>
      <w:r>
        <w:rPr>
          <w:rFonts w:cstheme="minorHAnsi"/>
        </w:rPr>
        <w:t xml:space="preserve">A </w:t>
      </w:r>
      <w:r w:rsidR="00095E11">
        <w:rPr>
          <w:rFonts w:cstheme="minorHAnsi"/>
        </w:rPr>
        <w:t>short-term</w:t>
      </w:r>
      <w:r>
        <w:rPr>
          <w:rFonts w:cstheme="minorHAnsi"/>
        </w:rPr>
        <w:t xml:space="preserve"> measure for cost saving is to </w:t>
      </w:r>
      <w:r w:rsidR="00EC2B3E">
        <w:rPr>
          <w:rFonts w:cstheme="minorHAnsi"/>
        </w:rPr>
        <w:t>switch on the Combined Heat and Power unit the University</w:t>
      </w:r>
      <w:r w:rsidR="00854160">
        <w:rPr>
          <w:rFonts w:cstheme="minorHAnsi"/>
        </w:rPr>
        <w:t xml:space="preserve"> houses in its central plant room. I</w:t>
      </w:r>
      <w:r w:rsidR="00095E11">
        <w:rPr>
          <w:rFonts w:cstheme="minorHAnsi"/>
        </w:rPr>
        <w:t>t has required some maintenance</w:t>
      </w:r>
      <w:r w:rsidR="00D3265E">
        <w:rPr>
          <w:rFonts w:cstheme="minorHAnsi"/>
        </w:rPr>
        <w:t xml:space="preserve"> with parts being delivered in November 2023 (delayed due to global supply chain issues)</w:t>
      </w:r>
      <w:r w:rsidR="00DD1FD9">
        <w:rPr>
          <w:rFonts w:cstheme="minorHAnsi"/>
        </w:rPr>
        <w:t>, but if it can be successfully run it will save around £500k this financial year.</w:t>
      </w:r>
    </w:p>
    <w:p w14:paraId="2AB7FB31" w14:textId="77777777" w:rsidR="008C3D40" w:rsidRPr="005B56DA" w:rsidRDefault="008C3D40" w:rsidP="0026775A">
      <w:pPr>
        <w:pStyle w:val="ListParagraph"/>
        <w:ind w:left="360"/>
        <w:jc w:val="both"/>
        <w:rPr>
          <w:rFonts w:cstheme="minorHAnsi"/>
        </w:rPr>
      </w:pPr>
    </w:p>
    <w:p w14:paraId="4ED3725C" w14:textId="7EACA851" w:rsidR="0026775A" w:rsidRDefault="0026775A" w:rsidP="0026775A">
      <w:pPr>
        <w:pStyle w:val="ListParagraph"/>
        <w:ind w:left="360"/>
        <w:jc w:val="both"/>
        <w:rPr>
          <w:rFonts w:cstheme="minorHAnsi"/>
        </w:rPr>
      </w:pPr>
      <w:r w:rsidRPr="005B56DA">
        <w:rPr>
          <w:rFonts w:cstheme="minorHAnsi"/>
        </w:rPr>
        <w:lastRenderedPageBreak/>
        <w:t xml:space="preserve">We </w:t>
      </w:r>
      <w:r w:rsidR="00037A9D">
        <w:rPr>
          <w:rFonts w:cstheme="minorHAnsi"/>
        </w:rPr>
        <w:t xml:space="preserve">have launched a </w:t>
      </w:r>
      <w:r w:rsidR="00037A9D" w:rsidRPr="008E22DC">
        <w:rPr>
          <w:rFonts w:cstheme="minorHAnsi"/>
          <w:b/>
          <w:bCs/>
        </w:rPr>
        <w:t>‘Switch-off’ campaign</w:t>
      </w:r>
      <w:r w:rsidR="00037A9D">
        <w:rPr>
          <w:rFonts w:cstheme="minorHAnsi"/>
        </w:rPr>
        <w:t xml:space="preserve"> </w:t>
      </w:r>
      <w:r w:rsidRPr="005B56DA">
        <w:rPr>
          <w:rFonts w:cstheme="minorHAnsi"/>
        </w:rPr>
        <w:t xml:space="preserve">to promote sensible energy usage for both commercial and sustainability reasons. </w:t>
      </w:r>
      <w:r w:rsidR="00ED4AAD">
        <w:rPr>
          <w:rFonts w:cstheme="minorHAnsi"/>
        </w:rPr>
        <w:t xml:space="preserve">So far around 30 </w:t>
      </w:r>
      <w:r w:rsidR="00820B00">
        <w:rPr>
          <w:rFonts w:cstheme="minorHAnsi"/>
        </w:rPr>
        <w:t>departments</w:t>
      </w:r>
      <w:r w:rsidR="00ED4AAD">
        <w:rPr>
          <w:rFonts w:cstheme="minorHAnsi"/>
        </w:rPr>
        <w:t xml:space="preserve"> </w:t>
      </w:r>
      <w:r w:rsidR="00820B00">
        <w:rPr>
          <w:rFonts w:cstheme="minorHAnsi"/>
        </w:rPr>
        <w:t>have taken part</w:t>
      </w:r>
      <w:r w:rsidR="00226FB7">
        <w:rPr>
          <w:rFonts w:cstheme="minorHAnsi"/>
        </w:rPr>
        <w:t xml:space="preserve">, with the distribution of around </w:t>
      </w:r>
      <w:r w:rsidR="00580054">
        <w:rPr>
          <w:rFonts w:cstheme="minorHAnsi"/>
        </w:rPr>
        <w:t>8,000 switch</w:t>
      </w:r>
      <w:r w:rsidR="003F47D8">
        <w:rPr>
          <w:rFonts w:cstheme="minorHAnsi"/>
        </w:rPr>
        <w:t>-</w:t>
      </w:r>
      <w:r w:rsidR="00580054">
        <w:rPr>
          <w:rFonts w:cstheme="minorHAnsi"/>
        </w:rPr>
        <w:t>off stickers</w:t>
      </w:r>
      <w:r w:rsidR="009D1589">
        <w:rPr>
          <w:rFonts w:cstheme="minorHAnsi"/>
        </w:rPr>
        <w:t xml:space="preserve">, this is likely to double </w:t>
      </w:r>
      <w:r w:rsidR="00BD6249">
        <w:rPr>
          <w:rFonts w:cstheme="minorHAnsi"/>
        </w:rPr>
        <w:t>during November 2023</w:t>
      </w:r>
      <w:r w:rsidR="009D1589">
        <w:rPr>
          <w:rFonts w:cstheme="minorHAnsi"/>
        </w:rPr>
        <w:t>.</w:t>
      </w:r>
    </w:p>
    <w:p w14:paraId="1DD80C42" w14:textId="77777777" w:rsidR="009D1589" w:rsidRDefault="009D1589" w:rsidP="0026775A">
      <w:pPr>
        <w:pStyle w:val="ListParagraph"/>
        <w:ind w:left="360"/>
        <w:jc w:val="both"/>
        <w:rPr>
          <w:rFonts w:cstheme="minorHAnsi"/>
        </w:rPr>
      </w:pPr>
    </w:p>
    <w:p w14:paraId="1174B58D" w14:textId="77777777" w:rsidR="009D1EB7" w:rsidRDefault="009D1589" w:rsidP="0026775A">
      <w:pPr>
        <w:pStyle w:val="ListParagraph"/>
        <w:ind w:left="360"/>
        <w:jc w:val="both"/>
        <w:rPr>
          <w:rFonts w:cstheme="minorHAnsi"/>
        </w:rPr>
      </w:pPr>
      <w:r w:rsidRPr="008E22DC">
        <w:rPr>
          <w:rFonts w:cstheme="minorHAnsi"/>
          <w:b/>
          <w:bCs/>
        </w:rPr>
        <w:t xml:space="preserve">The Laboratory Efficiency </w:t>
      </w:r>
      <w:r w:rsidR="003F47D8" w:rsidRPr="008E22DC">
        <w:rPr>
          <w:rFonts w:cstheme="minorHAnsi"/>
          <w:b/>
          <w:bCs/>
        </w:rPr>
        <w:t>Assessment Framework (LEAF)</w:t>
      </w:r>
      <w:r w:rsidR="003F47D8">
        <w:rPr>
          <w:rFonts w:cstheme="minorHAnsi"/>
        </w:rPr>
        <w:t xml:space="preserve"> program has been launched</w:t>
      </w:r>
      <w:r w:rsidR="00525301">
        <w:rPr>
          <w:rFonts w:cstheme="minorHAnsi"/>
        </w:rPr>
        <w:t>. LEAF sets out over 50 criteria to make labs more sustainability</w:t>
      </w:r>
      <w:r w:rsidR="00985F91">
        <w:rPr>
          <w:rFonts w:cstheme="minorHAnsi"/>
        </w:rPr>
        <w:t>,</w:t>
      </w:r>
      <w:r w:rsidR="00525301">
        <w:rPr>
          <w:rFonts w:cstheme="minorHAnsi"/>
        </w:rPr>
        <w:t xml:space="preserve"> includ</w:t>
      </w:r>
      <w:r w:rsidR="00985F91">
        <w:rPr>
          <w:rFonts w:cstheme="minorHAnsi"/>
        </w:rPr>
        <w:t>ing a range of energy saving action</w:t>
      </w:r>
      <w:r w:rsidR="00920141">
        <w:rPr>
          <w:rFonts w:cstheme="minorHAnsi"/>
        </w:rPr>
        <w:t xml:space="preserve"> such as turning up Ultra Low Temperature (ULT) Freezers</w:t>
      </w:r>
      <w:r w:rsidR="00525301">
        <w:rPr>
          <w:rFonts w:cstheme="minorHAnsi"/>
        </w:rPr>
        <w:t xml:space="preserve"> </w:t>
      </w:r>
      <w:r w:rsidR="00036FF8">
        <w:rPr>
          <w:rFonts w:cstheme="minorHAnsi"/>
        </w:rPr>
        <w:t>from -80 to -70 saving 25% of their energy use</w:t>
      </w:r>
      <w:r w:rsidR="00622354">
        <w:rPr>
          <w:rFonts w:cstheme="minorHAnsi"/>
        </w:rPr>
        <w:t xml:space="preserve"> – saving 300kg </w:t>
      </w:r>
      <w:r w:rsidR="00A3385A">
        <w:rPr>
          <w:rFonts w:cstheme="minorHAnsi"/>
        </w:rPr>
        <w:t>of carbon</w:t>
      </w:r>
      <w:r w:rsidR="00622354">
        <w:rPr>
          <w:rFonts w:cstheme="minorHAnsi"/>
        </w:rPr>
        <w:t xml:space="preserve"> and </w:t>
      </w:r>
      <w:r w:rsidR="00A3385A">
        <w:rPr>
          <w:rFonts w:cstheme="minorHAnsi"/>
        </w:rPr>
        <w:t>£400 per year</w:t>
      </w:r>
      <w:r w:rsidR="0037694A">
        <w:rPr>
          <w:rFonts w:cstheme="minorHAnsi"/>
        </w:rPr>
        <w:t xml:space="preserve"> for each freezer.</w:t>
      </w:r>
      <w:r w:rsidR="003F47D8">
        <w:rPr>
          <w:rFonts w:cstheme="minorHAnsi"/>
        </w:rPr>
        <w:t xml:space="preserve"> </w:t>
      </w:r>
      <w:r w:rsidR="0037694A">
        <w:rPr>
          <w:rFonts w:cstheme="minorHAnsi"/>
        </w:rPr>
        <w:t>So far</w:t>
      </w:r>
      <w:r w:rsidR="002C24F3">
        <w:rPr>
          <w:rFonts w:cstheme="minorHAnsi"/>
        </w:rPr>
        <w:t xml:space="preserve"> 12 labs hav</w:t>
      </w:r>
      <w:r w:rsidR="0037694A">
        <w:rPr>
          <w:rFonts w:cstheme="minorHAnsi"/>
        </w:rPr>
        <w:t>e</w:t>
      </w:r>
      <w:r w:rsidR="002C24F3">
        <w:rPr>
          <w:rFonts w:cstheme="minorHAnsi"/>
        </w:rPr>
        <w:t xml:space="preserve"> signed up </w:t>
      </w:r>
      <w:r w:rsidR="008E22DC">
        <w:rPr>
          <w:rFonts w:cstheme="minorHAnsi"/>
        </w:rPr>
        <w:t xml:space="preserve">to LEAF </w:t>
      </w:r>
      <w:r w:rsidR="00436657">
        <w:rPr>
          <w:rFonts w:cstheme="minorHAnsi"/>
        </w:rPr>
        <w:t xml:space="preserve">with </w:t>
      </w:r>
      <w:r w:rsidR="002C24F3">
        <w:rPr>
          <w:rFonts w:cstheme="minorHAnsi"/>
        </w:rPr>
        <w:t xml:space="preserve">20 more </w:t>
      </w:r>
      <w:r w:rsidR="008E22DC">
        <w:rPr>
          <w:rFonts w:cstheme="minorHAnsi"/>
        </w:rPr>
        <w:t>considering</w:t>
      </w:r>
      <w:r w:rsidR="00436657">
        <w:rPr>
          <w:rFonts w:cstheme="minorHAnsi"/>
        </w:rPr>
        <w:t xml:space="preserve"> joining</w:t>
      </w:r>
      <w:r w:rsidR="008E22DC">
        <w:rPr>
          <w:rFonts w:cstheme="minorHAnsi"/>
        </w:rPr>
        <w:t>.</w:t>
      </w:r>
      <w:r w:rsidR="002C24F3">
        <w:rPr>
          <w:rFonts w:cstheme="minorHAnsi"/>
        </w:rPr>
        <w:t xml:space="preserve"> </w:t>
      </w:r>
      <w:r w:rsidR="00052481">
        <w:rPr>
          <w:rFonts w:cstheme="minorHAnsi"/>
        </w:rPr>
        <w:t>The scheme has 3 levels, Bronze, Silver and Gold</w:t>
      </w:r>
      <w:r w:rsidR="00436657">
        <w:rPr>
          <w:rFonts w:cstheme="minorHAnsi"/>
        </w:rPr>
        <w:t>, the aim is to get all labs to the bronze standard in 2 years.</w:t>
      </w:r>
      <w:r w:rsidR="00714C9E">
        <w:rPr>
          <w:rFonts w:cstheme="minorHAnsi"/>
        </w:rPr>
        <w:t xml:space="preserve"> </w:t>
      </w:r>
    </w:p>
    <w:p w14:paraId="65329C71" w14:textId="77777777" w:rsidR="009D1EB7" w:rsidRDefault="009D1EB7" w:rsidP="0026775A">
      <w:pPr>
        <w:pStyle w:val="ListParagraph"/>
        <w:ind w:left="360"/>
        <w:jc w:val="both"/>
        <w:rPr>
          <w:rFonts w:cstheme="minorHAnsi"/>
        </w:rPr>
      </w:pPr>
    </w:p>
    <w:p w14:paraId="352E21C8" w14:textId="3F0E861D" w:rsidR="009D1589" w:rsidRDefault="00DE5D7A" w:rsidP="0026775A">
      <w:pPr>
        <w:pStyle w:val="ListParagraph"/>
        <w:ind w:left="360"/>
        <w:jc w:val="both"/>
        <w:rPr>
          <w:rFonts w:cstheme="minorHAnsi"/>
        </w:rPr>
      </w:pPr>
      <w:r>
        <w:rPr>
          <w:rFonts w:cstheme="minorHAnsi"/>
        </w:rPr>
        <w:t>LEAF forms part of a wider sustainable labs initiative</w:t>
      </w:r>
      <w:r w:rsidR="00526206">
        <w:rPr>
          <w:rFonts w:cstheme="minorHAnsi"/>
        </w:rPr>
        <w:t xml:space="preserve"> which will look at inventory systems, equipment sharing</w:t>
      </w:r>
      <w:r w:rsidR="00F3670A">
        <w:rPr>
          <w:rFonts w:cstheme="minorHAnsi"/>
        </w:rPr>
        <w:t xml:space="preserve">, reuse of equipment and centrally controlled services like </w:t>
      </w:r>
      <w:r w:rsidR="00B75562">
        <w:rPr>
          <w:rFonts w:cstheme="minorHAnsi"/>
        </w:rPr>
        <w:t>f</w:t>
      </w:r>
      <w:r w:rsidR="00F3670A">
        <w:rPr>
          <w:rFonts w:cstheme="minorHAnsi"/>
        </w:rPr>
        <w:t xml:space="preserve">ume </w:t>
      </w:r>
      <w:r w:rsidR="00B75562">
        <w:rPr>
          <w:rFonts w:cstheme="minorHAnsi"/>
        </w:rPr>
        <w:t>c</w:t>
      </w:r>
      <w:r w:rsidR="00F3670A">
        <w:rPr>
          <w:rFonts w:cstheme="minorHAnsi"/>
        </w:rPr>
        <w:t xml:space="preserve">upboards. </w:t>
      </w:r>
      <w:r w:rsidR="00526206">
        <w:rPr>
          <w:rFonts w:cstheme="minorHAnsi"/>
        </w:rPr>
        <w:t xml:space="preserve"> </w:t>
      </w:r>
    </w:p>
    <w:p w14:paraId="3853140F" w14:textId="77777777" w:rsidR="00FD3F08" w:rsidRDefault="00FD3F08" w:rsidP="0026775A">
      <w:pPr>
        <w:pStyle w:val="ListParagraph"/>
        <w:ind w:left="360"/>
        <w:jc w:val="both"/>
        <w:rPr>
          <w:rFonts w:cstheme="minorHAnsi"/>
        </w:rPr>
      </w:pPr>
    </w:p>
    <w:p w14:paraId="624316B5" w14:textId="4922A214" w:rsidR="00FD3F08" w:rsidRDefault="00FD3F08" w:rsidP="0026775A">
      <w:pPr>
        <w:pStyle w:val="ListParagraph"/>
        <w:ind w:left="360"/>
        <w:jc w:val="both"/>
        <w:rPr>
          <w:rFonts w:cstheme="minorHAnsi"/>
        </w:rPr>
      </w:pPr>
      <w:r w:rsidRPr="008B237A">
        <w:rPr>
          <w:rFonts w:cstheme="minorHAnsi"/>
          <w:b/>
          <w:bCs/>
        </w:rPr>
        <w:t>Green Impact</w:t>
      </w:r>
      <w:r>
        <w:rPr>
          <w:rFonts w:cstheme="minorHAnsi"/>
        </w:rPr>
        <w:t xml:space="preserve"> has also been launched, like LEAF </w:t>
      </w:r>
      <w:r w:rsidR="008B237A">
        <w:rPr>
          <w:rFonts w:cstheme="minorHAnsi"/>
        </w:rPr>
        <w:t>it’s</w:t>
      </w:r>
      <w:r>
        <w:rPr>
          <w:rFonts w:cstheme="minorHAnsi"/>
        </w:rPr>
        <w:t xml:space="preserve"> an accreditation scheme </w:t>
      </w:r>
      <w:r w:rsidR="00F210CD">
        <w:rPr>
          <w:rFonts w:cstheme="minorHAnsi"/>
        </w:rPr>
        <w:t xml:space="preserve">around sustainable actions, but is focused on non-lab teams. </w:t>
      </w:r>
      <w:r w:rsidR="008B237A">
        <w:rPr>
          <w:rFonts w:cstheme="minorHAnsi"/>
        </w:rPr>
        <w:t>Again,</w:t>
      </w:r>
      <w:r w:rsidR="00F210CD">
        <w:rPr>
          <w:rFonts w:cstheme="minorHAnsi"/>
        </w:rPr>
        <w:t xml:space="preserve"> its sets out actions staff and students can take to improve sustainability</w:t>
      </w:r>
      <w:r w:rsidR="008B237A">
        <w:rPr>
          <w:rFonts w:cstheme="minorHAnsi"/>
        </w:rPr>
        <w:t xml:space="preserve">, including actions on energy saving. </w:t>
      </w:r>
      <w:r w:rsidR="00D927FF">
        <w:rPr>
          <w:rFonts w:cstheme="minorHAnsi"/>
        </w:rPr>
        <w:t>The aim is to have 20 teams undertaking</w:t>
      </w:r>
      <w:r w:rsidR="00833FE3">
        <w:rPr>
          <w:rFonts w:cstheme="minorHAnsi"/>
        </w:rPr>
        <w:t xml:space="preserve"> Green Impact in its first year.</w:t>
      </w:r>
    </w:p>
    <w:p w14:paraId="1CAA5815" w14:textId="77777777" w:rsidR="00276503" w:rsidRDefault="00276503" w:rsidP="0026775A">
      <w:pPr>
        <w:pStyle w:val="ListParagraph"/>
        <w:ind w:left="360"/>
        <w:jc w:val="both"/>
        <w:rPr>
          <w:rFonts w:cstheme="minorHAnsi"/>
        </w:rPr>
      </w:pPr>
    </w:p>
    <w:p w14:paraId="38F33122" w14:textId="4C5895DD" w:rsidR="00276503" w:rsidRDefault="00276503" w:rsidP="0026775A">
      <w:pPr>
        <w:pStyle w:val="ListParagraph"/>
        <w:ind w:left="360"/>
        <w:jc w:val="both"/>
        <w:rPr>
          <w:rFonts w:cstheme="minorHAnsi"/>
        </w:rPr>
      </w:pPr>
      <w:r w:rsidRPr="001A39A8">
        <w:rPr>
          <w:rFonts w:cstheme="minorHAnsi"/>
          <w:b/>
          <w:bCs/>
        </w:rPr>
        <w:t xml:space="preserve">Financial </w:t>
      </w:r>
      <w:r w:rsidR="00AA43FA" w:rsidRPr="001A39A8">
        <w:rPr>
          <w:rFonts w:cstheme="minorHAnsi"/>
          <w:b/>
          <w:bCs/>
        </w:rPr>
        <w:t>measures</w:t>
      </w:r>
      <w:r w:rsidR="00AA43FA">
        <w:rPr>
          <w:rFonts w:cstheme="minorHAnsi"/>
        </w:rPr>
        <w:t xml:space="preserve"> – Review of VAT rating. The University</w:t>
      </w:r>
      <w:r w:rsidR="001411FD">
        <w:rPr>
          <w:rFonts w:cstheme="minorHAnsi"/>
        </w:rPr>
        <w:t xml:space="preserve"> has an opportunity to reduce its cost base by </w:t>
      </w:r>
      <w:r w:rsidR="000D59B9">
        <w:rPr>
          <w:rFonts w:cstheme="minorHAnsi"/>
        </w:rPr>
        <w:t>reducing</w:t>
      </w:r>
      <w:r w:rsidR="008D5B79">
        <w:rPr>
          <w:rFonts w:cstheme="minorHAnsi"/>
        </w:rPr>
        <w:t xml:space="preserve"> the</w:t>
      </w:r>
      <w:r w:rsidR="001411FD">
        <w:rPr>
          <w:rFonts w:cstheme="minorHAnsi"/>
        </w:rPr>
        <w:t xml:space="preserve"> VAT </w:t>
      </w:r>
      <w:r w:rsidR="008D5B79">
        <w:rPr>
          <w:rFonts w:cstheme="minorHAnsi"/>
        </w:rPr>
        <w:t xml:space="preserve">rating </w:t>
      </w:r>
      <w:r w:rsidR="001411FD">
        <w:rPr>
          <w:rFonts w:cstheme="minorHAnsi"/>
        </w:rPr>
        <w:t xml:space="preserve">on </w:t>
      </w:r>
      <w:r w:rsidR="008D5B79">
        <w:rPr>
          <w:rFonts w:cstheme="minorHAnsi"/>
        </w:rPr>
        <w:t>electricity and gas invoices</w:t>
      </w:r>
      <w:r w:rsidR="00224AF1">
        <w:rPr>
          <w:rFonts w:cstheme="minorHAnsi"/>
        </w:rPr>
        <w:t xml:space="preserve"> from 20% to 5%</w:t>
      </w:r>
      <w:r w:rsidR="007271F2">
        <w:rPr>
          <w:rFonts w:cstheme="minorHAnsi"/>
        </w:rPr>
        <w:t xml:space="preserve">. </w:t>
      </w:r>
      <w:r w:rsidR="00575B48">
        <w:rPr>
          <w:rFonts w:cstheme="minorHAnsi"/>
        </w:rPr>
        <w:t xml:space="preserve">Work is continuing on this so a final figure of the cost reduction is not available but </w:t>
      </w:r>
      <w:r w:rsidR="002177E1">
        <w:rPr>
          <w:rFonts w:cstheme="minorHAnsi"/>
        </w:rPr>
        <w:t>it’s</w:t>
      </w:r>
      <w:r w:rsidR="00575B48">
        <w:rPr>
          <w:rFonts w:cstheme="minorHAnsi"/>
        </w:rPr>
        <w:t xml:space="preserve"> likely to be in the </w:t>
      </w:r>
      <w:r w:rsidR="002177E1">
        <w:rPr>
          <w:rFonts w:cstheme="minorHAnsi"/>
        </w:rPr>
        <w:t>hundreds of thousands.</w:t>
      </w:r>
    </w:p>
    <w:p w14:paraId="35C74BA2" w14:textId="77777777" w:rsidR="00A23567" w:rsidRDefault="00A23567" w:rsidP="0026775A">
      <w:pPr>
        <w:pStyle w:val="ListParagraph"/>
        <w:ind w:left="360"/>
        <w:jc w:val="both"/>
        <w:rPr>
          <w:rFonts w:cstheme="minorHAnsi"/>
        </w:rPr>
      </w:pPr>
    </w:p>
    <w:p w14:paraId="33811697" w14:textId="77777777" w:rsidR="00F8525D" w:rsidRPr="005B56DA" w:rsidRDefault="00F8525D" w:rsidP="00F8525D">
      <w:pPr>
        <w:pStyle w:val="ListParagraph"/>
        <w:ind w:left="360"/>
        <w:jc w:val="both"/>
        <w:rPr>
          <w:rFonts w:cstheme="minorHAnsi"/>
        </w:rPr>
      </w:pPr>
    </w:p>
    <w:p w14:paraId="76731DEE" w14:textId="1E71DB55" w:rsidR="00F8525D" w:rsidRPr="00906254" w:rsidRDefault="00F8525D" w:rsidP="000A499D">
      <w:pPr>
        <w:pStyle w:val="ListParagraph"/>
        <w:numPr>
          <w:ilvl w:val="0"/>
          <w:numId w:val="2"/>
        </w:numPr>
        <w:jc w:val="both"/>
        <w:rPr>
          <w:rFonts w:cstheme="minorHAnsi"/>
          <w:sz w:val="24"/>
          <w:szCs w:val="24"/>
        </w:rPr>
      </w:pPr>
      <w:r w:rsidRPr="00906254">
        <w:rPr>
          <w:rFonts w:cstheme="minorHAnsi"/>
          <w:b/>
          <w:bCs/>
          <w:sz w:val="24"/>
          <w:szCs w:val="24"/>
        </w:rPr>
        <w:t>EV Charging</w:t>
      </w:r>
    </w:p>
    <w:p w14:paraId="55CC47A4" w14:textId="77777777" w:rsidR="00F8525D" w:rsidRPr="005B56DA" w:rsidRDefault="00F8525D" w:rsidP="00F8525D">
      <w:pPr>
        <w:pStyle w:val="ListParagraph"/>
        <w:ind w:left="360"/>
        <w:jc w:val="both"/>
        <w:rPr>
          <w:rFonts w:cstheme="minorHAnsi"/>
        </w:rPr>
      </w:pPr>
    </w:p>
    <w:p w14:paraId="015BC0C4" w14:textId="5FE33DEA" w:rsidR="00F8525D" w:rsidRPr="005B56DA" w:rsidRDefault="00987228" w:rsidP="005B56DA">
      <w:pPr>
        <w:pStyle w:val="ListParagraph"/>
        <w:ind w:left="360"/>
        <w:jc w:val="both"/>
        <w:rPr>
          <w:rFonts w:cstheme="minorHAnsi"/>
        </w:rPr>
      </w:pPr>
      <w:r>
        <w:rPr>
          <w:rFonts w:cstheme="minorHAnsi"/>
          <w:bCs/>
        </w:rPr>
        <w:t xml:space="preserve">A plan to provide slow chargers on the Stage Hill and Manor Park sites </w:t>
      </w:r>
      <w:r w:rsidR="004A3A15">
        <w:rPr>
          <w:rFonts w:cstheme="minorHAnsi"/>
          <w:bCs/>
        </w:rPr>
        <w:t>tendered in 2021 has been updated to provide fast chargers</w:t>
      </w:r>
      <w:r w:rsidR="00FD7960">
        <w:rPr>
          <w:rFonts w:cstheme="minorHAnsi"/>
          <w:bCs/>
        </w:rPr>
        <w:t xml:space="preserve"> (</w:t>
      </w:r>
      <w:r w:rsidR="00F67298">
        <w:rPr>
          <w:rFonts w:cstheme="minorHAnsi"/>
          <w:bCs/>
        </w:rPr>
        <w:t>22kw+)</w:t>
      </w:r>
      <w:r w:rsidR="00FD7960">
        <w:rPr>
          <w:rFonts w:cstheme="minorHAnsi"/>
          <w:bCs/>
        </w:rPr>
        <w:t xml:space="preserve"> and ultra-fast chargers</w:t>
      </w:r>
      <w:r w:rsidR="00F67298">
        <w:rPr>
          <w:rFonts w:cstheme="minorHAnsi"/>
          <w:bCs/>
        </w:rPr>
        <w:t xml:space="preserve"> (50kw to 150kw)</w:t>
      </w:r>
      <w:r w:rsidR="00724140">
        <w:rPr>
          <w:rFonts w:cstheme="minorHAnsi"/>
          <w:bCs/>
        </w:rPr>
        <w:t xml:space="preserve"> across the estate. An </w:t>
      </w:r>
      <w:r w:rsidR="00AA1CF7">
        <w:rPr>
          <w:rFonts w:cstheme="minorHAnsi"/>
          <w:bCs/>
        </w:rPr>
        <w:t>‘</w:t>
      </w:r>
      <w:r w:rsidR="008D1A59">
        <w:rPr>
          <w:rFonts w:cstheme="minorHAnsi"/>
          <w:bCs/>
        </w:rPr>
        <w:t>expression</w:t>
      </w:r>
      <w:r w:rsidR="00724140">
        <w:rPr>
          <w:rFonts w:cstheme="minorHAnsi"/>
          <w:bCs/>
        </w:rPr>
        <w:t xml:space="preserve"> of interest</w:t>
      </w:r>
      <w:r w:rsidR="00AA1CF7">
        <w:rPr>
          <w:rFonts w:cstheme="minorHAnsi"/>
          <w:bCs/>
        </w:rPr>
        <w:t>’</w:t>
      </w:r>
      <w:r w:rsidR="00724140">
        <w:rPr>
          <w:rFonts w:cstheme="minorHAnsi"/>
          <w:bCs/>
        </w:rPr>
        <w:t xml:space="preserve"> to provide </w:t>
      </w:r>
      <w:r w:rsidR="008D1A59">
        <w:rPr>
          <w:rFonts w:cstheme="minorHAnsi"/>
          <w:bCs/>
        </w:rPr>
        <w:t xml:space="preserve">between 100 and 200 charging stations across the </w:t>
      </w:r>
      <w:r w:rsidR="00BB041E">
        <w:rPr>
          <w:rFonts w:cstheme="minorHAnsi"/>
          <w:bCs/>
        </w:rPr>
        <w:t>University, as well as a publicly accessible</w:t>
      </w:r>
      <w:r w:rsidR="00AA1CF7">
        <w:rPr>
          <w:rFonts w:cstheme="minorHAnsi"/>
          <w:bCs/>
        </w:rPr>
        <w:t xml:space="preserve"> facility is currently </w:t>
      </w:r>
      <w:r w:rsidR="000900EA">
        <w:rPr>
          <w:rFonts w:cstheme="minorHAnsi"/>
          <w:bCs/>
        </w:rPr>
        <w:t>being reviewed with the procurement team</w:t>
      </w:r>
      <w:r w:rsidR="004E50AC">
        <w:rPr>
          <w:rFonts w:cstheme="minorHAnsi"/>
          <w:bCs/>
        </w:rPr>
        <w:t xml:space="preserve">. The aim is to have a yearlong plan of installation with </w:t>
      </w:r>
      <w:r w:rsidR="00DB5C0A">
        <w:rPr>
          <w:rFonts w:cstheme="minorHAnsi"/>
          <w:bCs/>
        </w:rPr>
        <w:t xml:space="preserve">an annual rolling program of additional charging stations to match staff and student demand. </w:t>
      </w:r>
      <w:r w:rsidR="00B2120F">
        <w:rPr>
          <w:rFonts w:cstheme="minorHAnsi"/>
          <w:bCs/>
        </w:rPr>
        <w:t xml:space="preserve">There will also be an installation of between 12 and 20 charging stations </w:t>
      </w:r>
      <w:r w:rsidR="000429FA">
        <w:rPr>
          <w:rFonts w:cstheme="minorHAnsi"/>
          <w:bCs/>
        </w:rPr>
        <w:t>delivered by the end of 2023</w:t>
      </w:r>
      <w:r w:rsidR="00831E29">
        <w:rPr>
          <w:rFonts w:cstheme="minorHAnsi"/>
          <w:bCs/>
        </w:rPr>
        <w:t>/</w:t>
      </w:r>
      <w:r w:rsidR="000429FA">
        <w:rPr>
          <w:rFonts w:cstheme="minorHAnsi"/>
          <w:bCs/>
        </w:rPr>
        <w:t>start of 2024</w:t>
      </w:r>
      <w:r w:rsidR="00831E29">
        <w:rPr>
          <w:rFonts w:cstheme="minorHAnsi"/>
          <w:bCs/>
        </w:rPr>
        <w:t xml:space="preserve"> to meet demand that will grow following the introduction of a</w:t>
      </w:r>
      <w:r w:rsidR="00EF5603">
        <w:rPr>
          <w:rFonts w:cstheme="minorHAnsi"/>
          <w:bCs/>
        </w:rPr>
        <w:t xml:space="preserve">n EV </w:t>
      </w:r>
      <w:r w:rsidR="00831E29">
        <w:rPr>
          <w:rFonts w:cstheme="minorHAnsi"/>
          <w:bCs/>
        </w:rPr>
        <w:t>salary sacrifice scheme</w:t>
      </w:r>
      <w:r w:rsidR="00EF5603">
        <w:rPr>
          <w:rFonts w:cstheme="minorHAnsi"/>
          <w:bCs/>
        </w:rPr>
        <w:t xml:space="preserve">. </w:t>
      </w:r>
    </w:p>
    <w:p w14:paraId="466F28AD" w14:textId="77777777" w:rsidR="00F8525D" w:rsidRPr="005B56DA" w:rsidRDefault="00F8525D" w:rsidP="00F8525D">
      <w:pPr>
        <w:pStyle w:val="ListParagraph"/>
        <w:ind w:left="360"/>
        <w:jc w:val="both"/>
        <w:rPr>
          <w:rFonts w:cstheme="minorHAnsi"/>
        </w:rPr>
      </w:pPr>
    </w:p>
    <w:p w14:paraId="46698EB9" w14:textId="77777777" w:rsidR="00906254" w:rsidRPr="000A499D" w:rsidRDefault="00906254" w:rsidP="000A499D">
      <w:pPr>
        <w:pStyle w:val="ListParagraph"/>
        <w:numPr>
          <w:ilvl w:val="0"/>
          <w:numId w:val="2"/>
        </w:numPr>
        <w:autoSpaceDE w:val="0"/>
        <w:autoSpaceDN w:val="0"/>
        <w:adjustRightInd w:val="0"/>
        <w:rPr>
          <w:rFonts w:cstheme="minorHAnsi"/>
          <w:b/>
          <w:bCs/>
          <w:color w:val="000000" w:themeColor="text1"/>
          <w:sz w:val="24"/>
          <w:szCs w:val="24"/>
        </w:rPr>
      </w:pPr>
      <w:r w:rsidRPr="000A499D">
        <w:rPr>
          <w:rFonts w:cstheme="minorHAnsi"/>
          <w:b/>
          <w:bCs/>
          <w:color w:val="000000" w:themeColor="text1"/>
          <w:sz w:val="24"/>
          <w:szCs w:val="24"/>
        </w:rPr>
        <w:t>Waste and re-use</w:t>
      </w:r>
    </w:p>
    <w:p w14:paraId="5A952DC4" w14:textId="03B5F2B2" w:rsidR="00906254" w:rsidRDefault="002959EA" w:rsidP="00906254">
      <w:pPr>
        <w:autoSpaceDE w:val="0"/>
        <w:autoSpaceDN w:val="0"/>
        <w:adjustRightInd w:val="0"/>
        <w:ind w:left="360"/>
        <w:rPr>
          <w:rFonts w:cstheme="minorHAnsi"/>
          <w:color w:val="000000" w:themeColor="text1"/>
        </w:rPr>
      </w:pPr>
      <w:r>
        <w:rPr>
          <w:rFonts w:cstheme="minorHAnsi"/>
          <w:color w:val="000000" w:themeColor="text1"/>
        </w:rPr>
        <w:t>The University</w:t>
      </w:r>
      <w:r w:rsidR="00906254">
        <w:rPr>
          <w:rFonts w:cstheme="minorHAnsi"/>
          <w:color w:val="000000" w:themeColor="text1"/>
        </w:rPr>
        <w:t xml:space="preserve"> diverts </w:t>
      </w:r>
      <w:r>
        <w:rPr>
          <w:rFonts w:cstheme="minorHAnsi"/>
          <w:color w:val="000000" w:themeColor="text1"/>
        </w:rPr>
        <w:t>100</w:t>
      </w:r>
      <w:r w:rsidR="00906254">
        <w:rPr>
          <w:rFonts w:cstheme="minorHAnsi"/>
          <w:color w:val="000000" w:themeColor="text1"/>
        </w:rPr>
        <w:t xml:space="preserve">% of its waste from landfill, by reusing, recycling, and recovering (via energy from waste plants). With </w:t>
      </w:r>
      <w:r w:rsidR="00F74C53">
        <w:rPr>
          <w:rFonts w:cstheme="minorHAnsi"/>
          <w:color w:val="000000" w:themeColor="text1"/>
        </w:rPr>
        <w:t>its</w:t>
      </w:r>
      <w:r w:rsidR="00906254">
        <w:rPr>
          <w:rFonts w:cstheme="minorHAnsi"/>
          <w:color w:val="000000" w:themeColor="text1"/>
        </w:rPr>
        <w:t xml:space="preserve"> partner Chambers, the university aims to increase the utility of its waste by moving it up the waste hierarchy to reduction, reuse and recycling</w:t>
      </w:r>
      <w:r w:rsidR="00A9656B">
        <w:rPr>
          <w:rFonts w:cstheme="minorHAnsi"/>
          <w:color w:val="000000" w:themeColor="text1"/>
        </w:rPr>
        <w:t>, as well as</w:t>
      </w:r>
      <w:r w:rsidR="00906254">
        <w:rPr>
          <w:rFonts w:cstheme="minorHAnsi"/>
          <w:color w:val="000000" w:themeColor="text1"/>
        </w:rPr>
        <w:t xml:space="preserve"> reducing the amount of waste that goes to energy from waste plants.</w:t>
      </w:r>
    </w:p>
    <w:p w14:paraId="40C57E0C" w14:textId="606E6C7C" w:rsidR="000E08BC" w:rsidRDefault="00B929F1" w:rsidP="00906254">
      <w:pPr>
        <w:autoSpaceDE w:val="0"/>
        <w:autoSpaceDN w:val="0"/>
        <w:adjustRightInd w:val="0"/>
        <w:ind w:left="360"/>
        <w:rPr>
          <w:rFonts w:cstheme="minorHAnsi"/>
          <w:color w:val="000000" w:themeColor="text1"/>
        </w:rPr>
      </w:pPr>
      <w:r>
        <w:rPr>
          <w:rFonts w:cstheme="minorHAnsi"/>
          <w:color w:val="000000" w:themeColor="text1"/>
        </w:rPr>
        <w:t>Around 1,</w:t>
      </w:r>
      <w:r w:rsidR="004300D9">
        <w:rPr>
          <w:rFonts w:cstheme="minorHAnsi"/>
          <w:color w:val="000000" w:themeColor="text1"/>
        </w:rPr>
        <w:t>2</w:t>
      </w:r>
      <w:r>
        <w:rPr>
          <w:rFonts w:cstheme="minorHAnsi"/>
          <w:color w:val="000000" w:themeColor="text1"/>
        </w:rPr>
        <w:t>00tonnes of waste are produced each year</w:t>
      </w:r>
      <w:r w:rsidR="009D5466">
        <w:rPr>
          <w:rFonts w:cstheme="minorHAnsi"/>
          <w:color w:val="000000" w:themeColor="text1"/>
        </w:rPr>
        <w:t xml:space="preserve">, </w:t>
      </w:r>
      <w:r w:rsidR="004300D9">
        <w:rPr>
          <w:rFonts w:cstheme="minorHAnsi"/>
          <w:color w:val="000000" w:themeColor="text1"/>
        </w:rPr>
        <w:t xml:space="preserve">of which </w:t>
      </w:r>
      <w:r w:rsidR="00AC0C41">
        <w:rPr>
          <w:rFonts w:cstheme="minorHAnsi"/>
          <w:color w:val="000000" w:themeColor="text1"/>
        </w:rPr>
        <w:t xml:space="preserve">60% is either recycled, re-purposed or sent to anaerobic digestion. The remaining 40% goes to </w:t>
      </w:r>
      <w:r w:rsidR="004300D9">
        <w:rPr>
          <w:rFonts w:cstheme="minorHAnsi"/>
          <w:color w:val="000000" w:themeColor="text1"/>
        </w:rPr>
        <w:t>an energy from waste plant.</w:t>
      </w:r>
    </w:p>
    <w:p w14:paraId="4E4D2DC8" w14:textId="2BF4477E" w:rsidR="001767E8" w:rsidRDefault="00A86269" w:rsidP="00906254">
      <w:pPr>
        <w:autoSpaceDE w:val="0"/>
        <w:autoSpaceDN w:val="0"/>
        <w:adjustRightInd w:val="0"/>
        <w:ind w:left="360"/>
        <w:rPr>
          <w:rFonts w:cstheme="minorHAnsi"/>
          <w:color w:val="000000" w:themeColor="text1"/>
        </w:rPr>
      </w:pPr>
      <w:r>
        <w:rPr>
          <w:rFonts w:cstheme="minorHAnsi"/>
          <w:color w:val="000000" w:themeColor="text1"/>
        </w:rPr>
        <w:lastRenderedPageBreak/>
        <w:t xml:space="preserve">A waste campaign has started to information staff and students about </w:t>
      </w:r>
      <w:r w:rsidR="00A22609">
        <w:rPr>
          <w:rFonts w:cstheme="minorHAnsi"/>
          <w:color w:val="000000" w:themeColor="text1"/>
        </w:rPr>
        <w:t>how waste is managed at the University. A key aim is to ensure food waste is separated from dry recyclable materials</w:t>
      </w:r>
      <w:r w:rsidR="00254AD1">
        <w:rPr>
          <w:rFonts w:cstheme="minorHAnsi"/>
          <w:color w:val="000000" w:themeColor="text1"/>
        </w:rPr>
        <w:t>, as this causes contamination and reduces what can be recycled.</w:t>
      </w:r>
    </w:p>
    <w:p w14:paraId="072BA779" w14:textId="77777777" w:rsidR="001A39A8" w:rsidRDefault="00906254" w:rsidP="00467DE7">
      <w:pPr>
        <w:autoSpaceDE w:val="0"/>
        <w:autoSpaceDN w:val="0"/>
        <w:adjustRightInd w:val="0"/>
        <w:ind w:left="360"/>
        <w:rPr>
          <w:rFonts w:cstheme="minorHAnsi"/>
          <w:color w:val="000000" w:themeColor="text1"/>
        </w:rPr>
      </w:pPr>
      <w:r>
        <w:rPr>
          <w:rFonts w:cstheme="minorHAnsi"/>
          <w:color w:val="000000" w:themeColor="text1"/>
        </w:rPr>
        <w:t>The Students’ Union has set up a community hub on campus to provide a swop shop, food co-op, book swop and community fridge addressing the cost of livening crisis as well as linking with reuse and waste reduction activities.</w:t>
      </w:r>
    </w:p>
    <w:p w14:paraId="6B0AE73A" w14:textId="77777777" w:rsidR="001A39A8" w:rsidRDefault="001A39A8" w:rsidP="00467DE7">
      <w:pPr>
        <w:autoSpaceDE w:val="0"/>
        <w:autoSpaceDN w:val="0"/>
        <w:adjustRightInd w:val="0"/>
        <w:ind w:left="360"/>
        <w:rPr>
          <w:rFonts w:cstheme="minorHAnsi"/>
          <w:color w:val="000000" w:themeColor="text1"/>
        </w:rPr>
      </w:pPr>
    </w:p>
    <w:p w14:paraId="1387B269" w14:textId="69875097" w:rsidR="00906254" w:rsidRPr="001A39A8" w:rsidRDefault="00906254" w:rsidP="001A39A8">
      <w:pPr>
        <w:pStyle w:val="ListParagraph"/>
        <w:numPr>
          <w:ilvl w:val="0"/>
          <w:numId w:val="2"/>
        </w:numPr>
        <w:autoSpaceDE w:val="0"/>
        <w:autoSpaceDN w:val="0"/>
        <w:adjustRightInd w:val="0"/>
        <w:rPr>
          <w:b/>
          <w:bCs/>
          <w:sz w:val="24"/>
          <w:szCs w:val="24"/>
        </w:rPr>
      </w:pPr>
      <w:r w:rsidRPr="001A39A8">
        <w:rPr>
          <w:b/>
          <w:bCs/>
          <w:sz w:val="24"/>
          <w:szCs w:val="24"/>
        </w:rPr>
        <w:t>Water use</w:t>
      </w:r>
    </w:p>
    <w:tbl>
      <w:tblPr>
        <w:tblStyle w:val="TableGrid"/>
        <w:tblW w:w="9016" w:type="dxa"/>
        <w:tblInd w:w="360" w:type="dxa"/>
        <w:tblLook w:val="04A0" w:firstRow="1" w:lastRow="0" w:firstColumn="1" w:lastColumn="0" w:noHBand="0" w:noVBand="1"/>
      </w:tblPr>
      <w:tblGrid>
        <w:gridCol w:w="2435"/>
        <w:gridCol w:w="2297"/>
        <w:gridCol w:w="2276"/>
        <w:gridCol w:w="2008"/>
      </w:tblGrid>
      <w:tr w:rsidR="00906254" w14:paraId="3AB2D90C" w14:textId="77777777" w:rsidTr="00906254">
        <w:tc>
          <w:tcPr>
            <w:tcW w:w="2435" w:type="dxa"/>
          </w:tcPr>
          <w:p w14:paraId="57D4259C" w14:textId="77777777" w:rsidR="00906254" w:rsidRDefault="00906254" w:rsidP="00207388">
            <w:pPr>
              <w:autoSpaceDE w:val="0"/>
              <w:autoSpaceDN w:val="0"/>
              <w:adjustRightInd w:val="0"/>
              <w:jc w:val="center"/>
              <w:rPr>
                <w:rFonts w:cstheme="minorHAnsi"/>
                <w:color w:val="000000" w:themeColor="text1"/>
              </w:rPr>
            </w:pPr>
            <w:bookmarkStart w:id="2" w:name="_Hlk145400514"/>
          </w:p>
        </w:tc>
        <w:tc>
          <w:tcPr>
            <w:tcW w:w="2297" w:type="dxa"/>
          </w:tcPr>
          <w:p w14:paraId="00B3A5BF"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2017/18 (Baseline Year)</w:t>
            </w:r>
          </w:p>
        </w:tc>
        <w:tc>
          <w:tcPr>
            <w:tcW w:w="2276" w:type="dxa"/>
          </w:tcPr>
          <w:p w14:paraId="06EA3C39"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2022/23</w:t>
            </w:r>
          </w:p>
        </w:tc>
        <w:tc>
          <w:tcPr>
            <w:tcW w:w="2008" w:type="dxa"/>
          </w:tcPr>
          <w:p w14:paraId="63151426"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Reduction</w:t>
            </w:r>
          </w:p>
        </w:tc>
      </w:tr>
      <w:tr w:rsidR="00906254" w14:paraId="7C41FF17" w14:textId="77777777" w:rsidTr="00906254">
        <w:tc>
          <w:tcPr>
            <w:tcW w:w="2435" w:type="dxa"/>
          </w:tcPr>
          <w:p w14:paraId="7A3D7E6B"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Water Consumption m</w:t>
            </w:r>
            <w:r w:rsidRPr="000333D4">
              <w:rPr>
                <w:rFonts w:cstheme="minorHAnsi"/>
                <w:color w:val="000000" w:themeColor="text1"/>
                <w:vertAlign w:val="superscript"/>
              </w:rPr>
              <w:t>3</w:t>
            </w:r>
          </w:p>
        </w:tc>
        <w:tc>
          <w:tcPr>
            <w:tcW w:w="2297" w:type="dxa"/>
          </w:tcPr>
          <w:p w14:paraId="2427BFA4"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414,188</w:t>
            </w:r>
          </w:p>
        </w:tc>
        <w:tc>
          <w:tcPr>
            <w:tcW w:w="2276" w:type="dxa"/>
          </w:tcPr>
          <w:p w14:paraId="23EFB84B"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377,521</w:t>
            </w:r>
          </w:p>
        </w:tc>
        <w:tc>
          <w:tcPr>
            <w:tcW w:w="2008" w:type="dxa"/>
          </w:tcPr>
          <w:p w14:paraId="3E7DD430" w14:textId="77777777" w:rsidR="00906254" w:rsidRDefault="00906254" w:rsidP="00207388">
            <w:pPr>
              <w:autoSpaceDE w:val="0"/>
              <w:autoSpaceDN w:val="0"/>
              <w:adjustRightInd w:val="0"/>
              <w:jc w:val="center"/>
              <w:rPr>
                <w:rFonts w:cstheme="minorHAnsi"/>
                <w:color w:val="000000" w:themeColor="text1"/>
              </w:rPr>
            </w:pPr>
            <w:r>
              <w:rPr>
                <w:rFonts w:cstheme="minorHAnsi"/>
                <w:color w:val="000000" w:themeColor="text1"/>
              </w:rPr>
              <w:t>8.9%</w:t>
            </w:r>
          </w:p>
        </w:tc>
      </w:tr>
      <w:bookmarkEnd w:id="2"/>
    </w:tbl>
    <w:p w14:paraId="0AE40467" w14:textId="77777777" w:rsidR="00906254" w:rsidRDefault="00906254" w:rsidP="00906254">
      <w:pPr>
        <w:autoSpaceDE w:val="0"/>
        <w:autoSpaceDN w:val="0"/>
        <w:adjustRightInd w:val="0"/>
        <w:ind w:left="360"/>
        <w:rPr>
          <w:rFonts w:cstheme="minorHAnsi"/>
          <w:color w:val="000000" w:themeColor="text1"/>
        </w:rPr>
      </w:pPr>
    </w:p>
    <w:p w14:paraId="68899E62" w14:textId="77777777" w:rsidR="00906254" w:rsidRDefault="00906254" w:rsidP="00906254">
      <w:pPr>
        <w:autoSpaceDE w:val="0"/>
        <w:autoSpaceDN w:val="0"/>
        <w:adjustRightInd w:val="0"/>
        <w:ind w:left="360"/>
        <w:rPr>
          <w:rFonts w:cstheme="minorHAnsi"/>
          <w:color w:val="000000" w:themeColor="text1"/>
        </w:rPr>
      </w:pPr>
      <w:r w:rsidRPr="00334FE9">
        <w:rPr>
          <w:rFonts w:cstheme="minorHAnsi"/>
          <w:color w:val="000000" w:themeColor="text1"/>
        </w:rPr>
        <w:t xml:space="preserve">We continued with measures designed to reduce consumption including presence-controlled water use in bathrooms, shower timers in halls of residence and </w:t>
      </w:r>
      <w:r>
        <w:rPr>
          <w:rFonts w:cstheme="minorHAnsi"/>
          <w:color w:val="000000" w:themeColor="text1"/>
        </w:rPr>
        <w:t>a new water contract with ‘Wave’ via our utility broker</w:t>
      </w:r>
      <w:r w:rsidRPr="00EB2362">
        <w:rPr>
          <w:rFonts w:cstheme="minorHAnsi"/>
          <w:color w:val="000000" w:themeColor="text1"/>
        </w:rPr>
        <w:t xml:space="preserve"> </w:t>
      </w:r>
      <w:r>
        <w:rPr>
          <w:rFonts w:cstheme="minorHAnsi"/>
          <w:color w:val="000000" w:themeColor="text1"/>
        </w:rPr>
        <w:t>saving around £50,000. It is expected that during 2023/24 further services will be realised via the new contract, including water reduction surveys.</w:t>
      </w:r>
    </w:p>
    <w:p w14:paraId="028E13EF" w14:textId="77777777" w:rsidR="00906254" w:rsidRDefault="00906254" w:rsidP="00906254">
      <w:pPr>
        <w:autoSpaceDE w:val="0"/>
        <w:autoSpaceDN w:val="0"/>
        <w:adjustRightInd w:val="0"/>
        <w:ind w:left="360"/>
        <w:rPr>
          <w:rFonts w:cstheme="minorHAnsi"/>
          <w:color w:val="000000" w:themeColor="text1"/>
        </w:rPr>
      </w:pPr>
      <w:r>
        <w:rPr>
          <w:rFonts w:cstheme="minorHAnsi"/>
          <w:color w:val="000000" w:themeColor="text1"/>
        </w:rPr>
        <w:t xml:space="preserve">An application for a second borehole has been made for Manor Park. The Stag Hill borehole project now means the University has the lowest cost of water within the sector. </w:t>
      </w:r>
    </w:p>
    <w:p w14:paraId="1F9F74BE" w14:textId="77777777" w:rsidR="00906254" w:rsidRPr="000A499D" w:rsidRDefault="00906254" w:rsidP="000A499D">
      <w:pPr>
        <w:pStyle w:val="ListParagraph"/>
        <w:numPr>
          <w:ilvl w:val="0"/>
          <w:numId w:val="2"/>
        </w:numPr>
        <w:autoSpaceDE w:val="0"/>
        <w:autoSpaceDN w:val="0"/>
        <w:adjustRightInd w:val="0"/>
        <w:rPr>
          <w:rFonts w:cstheme="minorHAnsi"/>
          <w:b/>
          <w:bCs/>
          <w:color w:val="000000" w:themeColor="text1"/>
          <w:sz w:val="24"/>
          <w:szCs w:val="24"/>
        </w:rPr>
      </w:pPr>
      <w:r w:rsidRPr="000A499D">
        <w:rPr>
          <w:rFonts w:cstheme="minorHAnsi"/>
          <w:b/>
          <w:bCs/>
          <w:color w:val="000000" w:themeColor="text1"/>
          <w:sz w:val="24"/>
          <w:szCs w:val="24"/>
        </w:rPr>
        <w:t>Sustainability Governance</w:t>
      </w:r>
    </w:p>
    <w:p w14:paraId="434E6A5A" w14:textId="77777777" w:rsidR="00906254" w:rsidRDefault="00906254" w:rsidP="00906254">
      <w:pPr>
        <w:autoSpaceDE w:val="0"/>
        <w:autoSpaceDN w:val="0"/>
        <w:adjustRightInd w:val="0"/>
        <w:ind w:left="360"/>
        <w:rPr>
          <w:rFonts w:cstheme="minorHAnsi"/>
          <w:color w:val="000000" w:themeColor="text1"/>
        </w:rPr>
      </w:pPr>
      <w:r w:rsidRPr="00267168">
        <w:rPr>
          <w:rFonts w:cstheme="minorHAnsi"/>
          <w:color w:val="000000" w:themeColor="text1"/>
        </w:rPr>
        <w:t xml:space="preserve">All university </w:t>
      </w:r>
      <w:r>
        <w:rPr>
          <w:rFonts w:cstheme="minorHAnsi"/>
          <w:color w:val="000000" w:themeColor="text1"/>
        </w:rPr>
        <w:t xml:space="preserve">policies, procedures and protocols now include a statement on how these activities impact on our sustainability aims, setting out how any negative impacts will be mitigated. </w:t>
      </w:r>
    </w:p>
    <w:p w14:paraId="38B5E4DE" w14:textId="2623AFAB" w:rsidR="000A499D" w:rsidRDefault="000A499D" w:rsidP="00906254">
      <w:pPr>
        <w:autoSpaceDE w:val="0"/>
        <w:autoSpaceDN w:val="0"/>
        <w:adjustRightInd w:val="0"/>
        <w:ind w:left="360"/>
        <w:rPr>
          <w:rFonts w:cstheme="minorHAnsi"/>
          <w:color w:val="000000" w:themeColor="text1"/>
        </w:rPr>
      </w:pPr>
      <w:r>
        <w:rPr>
          <w:rFonts w:cstheme="minorHAnsi"/>
          <w:color w:val="000000" w:themeColor="text1"/>
        </w:rPr>
        <w:t>Changes have been made to a number of policies</w:t>
      </w:r>
      <w:r w:rsidR="000A54A6">
        <w:rPr>
          <w:rFonts w:cstheme="minorHAnsi"/>
          <w:color w:val="000000" w:themeColor="text1"/>
        </w:rPr>
        <w:t>,</w:t>
      </w:r>
      <w:r>
        <w:rPr>
          <w:rFonts w:cstheme="minorHAnsi"/>
          <w:color w:val="000000" w:themeColor="text1"/>
        </w:rPr>
        <w:t xml:space="preserve"> for example </w:t>
      </w:r>
      <w:r w:rsidR="00BC0289">
        <w:rPr>
          <w:rFonts w:cstheme="minorHAnsi"/>
          <w:color w:val="000000" w:themeColor="text1"/>
        </w:rPr>
        <w:t>Business Expenses.</w:t>
      </w:r>
    </w:p>
    <w:p w14:paraId="3252DA8F" w14:textId="38ABAF3B" w:rsidR="00906254" w:rsidRDefault="00906254" w:rsidP="00906254">
      <w:pPr>
        <w:autoSpaceDE w:val="0"/>
        <w:autoSpaceDN w:val="0"/>
        <w:adjustRightInd w:val="0"/>
        <w:ind w:left="360"/>
        <w:rPr>
          <w:rFonts w:cstheme="minorHAnsi"/>
          <w:color w:val="000000" w:themeColor="text1"/>
        </w:rPr>
      </w:pPr>
      <w:r>
        <w:rPr>
          <w:rFonts w:cstheme="minorHAnsi"/>
          <w:color w:val="000000" w:themeColor="text1"/>
        </w:rPr>
        <w:t xml:space="preserve">To overview sustainability activity, a new Environmental and Sustainability Steering Group (ESSG) chaired by an Executive Board member has been set up. This co-insides with the arrival of </w:t>
      </w:r>
      <w:r w:rsidR="004C7FD5">
        <w:rPr>
          <w:rFonts w:cstheme="minorHAnsi"/>
          <w:color w:val="000000" w:themeColor="text1"/>
        </w:rPr>
        <w:t>the</w:t>
      </w:r>
      <w:r>
        <w:rPr>
          <w:rFonts w:cstheme="minorHAnsi"/>
          <w:color w:val="000000" w:themeColor="text1"/>
        </w:rPr>
        <w:t xml:space="preserve"> new Head of Sustainability.</w:t>
      </w:r>
      <w:r w:rsidR="00BC0289">
        <w:rPr>
          <w:rFonts w:cstheme="minorHAnsi"/>
          <w:color w:val="000000" w:themeColor="text1"/>
        </w:rPr>
        <w:t xml:space="preserve"> The ESSG is evolving</w:t>
      </w:r>
      <w:r w:rsidR="003A6B54">
        <w:rPr>
          <w:rFonts w:cstheme="minorHAnsi"/>
          <w:color w:val="000000" w:themeColor="text1"/>
        </w:rPr>
        <w:t xml:space="preserve"> and its interaction with the steering board for the Institute for Sustainability will be </w:t>
      </w:r>
      <w:r w:rsidR="00951508">
        <w:rPr>
          <w:rFonts w:cstheme="minorHAnsi"/>
          <w:color w:val="000000" w:themeColor="text1"/>
        </w:rPr>
        <w:t>effectively managed as its chair is also the chair for ESSG.</w:t>
      </w:r>
    </w:p>
    <w:p w14:paraId="2F976DF3" w14:textId="77777777" w:rsidR="00906254" w:rsidRDefault="00906254" w:rsidP="00906254">
      <w:pPr>
        <w:autoSpaceDE w:val="0"/>
        <w:autoSpaceDN w:val="0"/>
        <w:adjustRightInd w:val="0"/>
        <w:ind w:left="360"/>
        <w:rPr>
          <w:rFonts w:cstheme="minorHAnsi"/>
          <w:color w:val="000000" w:themeColor="text1"/>
        </w:rPr>
      </w:pPr>
      <w:r>
        <w:rPr>
          <w:rFonts w:cstheme="minorHAnsi"/>
          <w:color w:val="000000" w:themeColor="text1"/>
        </w:rPr>
        <w:t>The Head of Sustainability has also taken on the chair role coordinating an international sustainability group of Research and Innovation parks, which enables knowledge exchange, building links with Brazil, Egypt and India.</w:t>
      </w:r>
    </w:p>
    <w:p w14:paraId="5F61E07D" w14:textId="77777777" w:rsidR="00906254" w:rsidRPr="000A499D" w:rsidRDefault="00906254" w:rsidP="000A499D">
      <w:pPr>
        <w:pStyle w:val="ListParagraph"/>
        <w:numPr>
          <w:ilvl w:val="0"/>
          <w:numId w:val="2"/>
        </w:numPr>
        <w:autoSpaceDE w:val="0"/>
        <w:autoSpaceDN w:val="0"/>
        <w:adjustRightInd w:val="0"/>
        <w:rPr>
          <w:rFonts w:cstheme="minorHAnsi"/>
          <w:b/>
          <w:bCs/>
          <w:color w:val="000000" w:themeColor="text1"/>
          <w:sz w:val="24"/>
          <w:szCs w:val="24"/>
        </w:rPr>
      </w:pPr>
      <w:r w:rsidRPr="000A499D">
        <w:rPr>
          <w:rFonts w:cstheme="minorHAnsi"/>
          <w:b/>
          <w:bCs/>
          <w:color w:val="000000" w:themeColor="text1"/>
          <w:sz w:val="24"/>
          <w:szCs w:val="24"/>
        </w:rPr>
        <w:t>Procurement</w:t>
      </w:r>
    </w:p>
    <w:p w14:paraId="48EDF3C0" w14:textId="04B7B526" w:rsidR="00906254" w:rsidRDefault="00906254" w:rsidP="00906254">
      <w:pPr>
        <w:autoSpaceDE w:val="0"/>
        <w:autoSpaceDN w:val="0"/>
        <w:adjustRightInd w:val="0"/>
        <w:ind w:left="360"/>
        <w:rPr>
          <w:rFonts w:cstheme="minorHAnsi"/>
          <w:color w:val="000000" w:themeColor="text1"/>
        </w:rPr>
      </w:pPr>
      <w:r w:rsidRPr="00752152">
        <w:rPr>
          <w:rFonts w:cstheme="minorHAnsi"/>
          <w:color w:val="000000" w:themeColor="text1"/>
        </w:rPr>
        <w:t xml:space="preserve">The </w:t>
      </w:r>
      <w:r w:rsidR="0031297C">
        <w:rPr>
          <w:rFonts w:cstheme="minorHAnsi"/>
          <w:color w:val="000000" w:themeColor="text1"/>
        </w:rPr>
        <w:t>S</w:t>
      </w:r>
      <w:r w:rsidRPr="00752152">
        <w:rPr>
          <w:rFonts w:cstheme="minorHAnsi"/>
          <w:color w:val="000000" w:themeColor="text1"/>
        </w:rPr>
        <w:t xml:space="preserve">ustainability and </w:t>
      </w:r>
      <w:r w:rsidR="0031297C">
        <w:rPr>
          <w:rFonts w:cstheme="minorHAnsi"/>
          <w:color w:val="000000" w:themeColor="text1"/>
        </w:rPr>
        <w:t>P</w:t>
      </w:r>
      <w:r w:rsidRPr="00752152">
        <w:rPr>
          <w:rFonts w:cstheme="minorHAnsi"/>
          <w:color w:val="000000" w:themeColor="text1"/>
        </w:rPr>
        <w:t xml:space="preserve">rocurement teams have joined together </w:t>
      </w:r>
      <w:r>
        <w:rPr>
          <w:rFonts w:cstheme="minorHAnsi"/>
          <w:color w:val="000000" w:themeColor="text1"/>
        </w:rPr>
        <w:t>to integrate sustainability into our supply chain using the governments flexible framework (for sustainability). This work links up with the delivery of scope 3 reduction activities, as well as implementing environmental and social value actions.</w:t>
      </w:r>
    </w:p>
    <w:p w14:paraId="76031153" w14:textId="4F245CA4" w:rsidR="00D562C2" w:rsidRDefault="00731CD4" w:rsidP="00906254">
      <w:pPr>
        <w:autoSpaceDE w:val="0"/>
        <w:autoSpaceDN w:val="0"/>
        <w:adjustRightInd w:val="0"/>
        <w:ind w:left="360"/>
        <w:rPr>
          <w:rFonts w:cstheme="minorHAnsi"/>
          <w:color w:val="000000" w:themeColor="text1"/>
        </w:rPr>
      </w:pPr>
      <w:r>
        <w:rPr>
          <w:rFonts w:cstheme="minorHAnsi"/>
          <w:color w:val="000000" w:themeColor="text1"/>
        </w:rPr>
        <w:t>The key first actions are to focus on supplier eng</w:t>
      </w:r>
      <w:r w:rsidR="002C0304">
        <w:rPr>
          <w:rFonts w:cstheme="minorHAnsi"/>
          <w:color w:val="000000" w:themeColor="text1"/>
        </w:rPr>
        <w:t>agement and to ask suppliers what sustainable options they can provide</w:t>
      </w:r>
      <w:r w:rsidR="00714C9E">
        <w:rPr>
          <w:rFonts w:cstheme="minorHAnsi"/>
          <w:color w:val="000000" w:themeColor="text1"/>
        </w:rPr>
        <w:t xml:space="preserve"> the university.</w:t>
      </w:r>
    </w:p>
    <w:p w14:paraId="3670B756" w14:textId="251C7D20" w:rsidR="002177E1" w:rsidRDefault="002177E1" w:rsidP="006E5EF3">
      <w:pPr>
        <w:pStyle w:val="ListParagraph"/>
        <w:numPr>
          <w:ilvl w:val="0"/>
          <w:numId w:val="2"/>
        </w:numPr>
        <w:autoSpaceDE w:val="0"/>
        <w:autoSpaceDN w:val="0"/>
        <w:adjustRightInd w:val="0"/>
        <w:rPr>
          <w:rFonts w:cstheme="minorHAnsi"/>
          <w:b/>
          <w:bCs/>
          <w:color w:val="000000" w:themeColor="text1"/>
          <w:sz w:val="24"/>
          <w:szCs w:val="24"/>
        </w:rPr>
      </w:pPr>
      <w:r>
        <w:rPr>
          <w:rFonts w:cstheme="minorHAnsi"/>
          <w:b/>
          <w:bCs/>
          <w:color w:val="000000" w:themeColor="text1"/>
          <w:sz w:val="24"/>
          <w:szCs w:val="24"/>
        </w:rPr>
        <w:lastRenderedPageBreak/>
        <w:t xml:space="preserve">Other </w:t>
      </w:r>
      <w:r w:rsidR="001764C0">
        <w:rPr>
          <w:rFonts w:cstheme="minorHAnsi"/>
          <w:b/>
          <w:bCs/>
          <w:color w:val="000000" w:themeColor="text1"/>
          <w:sz w:val="24"/>
          <w:szCs w:val="24"/>
        </w:rPr>
        <w:t>E</w:t>
      </w:r>
      <w:r>
        <w:rPr>
          <w:rFonts w:cstheme="minorHAnsi"/>
          <w:b/>
          <w:bCs/>
          <w:color w:val="000000" w:themeColor="text1"/>
          <w:sz w:val="24"/>
          <w:szCs w:val="24"/>
        </w:rPr>
        <w:t xml:space="preserve">ngagement </w:t>
      </w:r>
      <w:r w:rsidR="001764C0">
        <w:rPr>
          <w:rFonts w:cstheme="minorHAnsi"/>
          <w:b/>
          <w:bCs/>
          <w:color w:val="000000" w:themeColor="text1"/>
          <w:sz w:val="24"/>
          <w:szCs w:val="24"/>
        </w:rPr>
        <w:t>A</w:t>
      </w:r>
      <w:r>
        <w:rPr>
          <w:rFonts w:cstheme="minorHAnsi"/>
          <w:b/>
          <w:bCs/>
          <w:color w:val="000000" w:themeColor="text1"/>
          <w:sz w:val="24"/>
          <w:szCs w:val="24"/>
        </w:rPr>
        <w:t>ctivities</w:t>
      </w:r>
    </w:p>
    <w:p w14:paraId="1F537BA4" w14:textId="77777777" w:rsidR="00E52BE6" w:rsidRDefault="00E52BE6" w:rsidP="00E52BE6">
      <w:pPr>
        <w:pStyle w:val="ListParagraph"/>
        <w:autoSpaceDE w:val="0"/>
        <w:autoSpaceDN w:val="0"/>
        <w:adjustRightInd w:val="0"/>
        <w:ind w:left="360"/>
        <w:rPr>
          <w:rFonts w:cstheme="minorHAnsi"/>
          <w:b/>
          <w:bCs/>
          <w:color w:val="000000" w:themeColor="text1"/>
          <w:sz w:val="24"/>
          <w:szCs w:val="24"/>
        </w:rPr>
      </w:pPr>
    </w:p>
    <w:p w14:paraId="03A96260" w14:textId="732FB9BD" w:rsidR="001764C0" w:rsidRDefault="001764C0" w:rsidP="00E52BE6">
      <w:pPr>
        <w:pStyle w:val="ListParagraph"/>
        <w:autoSpaceDE w:val="0"/>
        <w:autoSpaceDN w:val="0"/>
        <w:adjustRightInd w:val="0"/>
        <w:ind w:left="360"/>
        <w:rPr>
          <w:rFonts w:cstheme="minorHAnsi"/>
          <w:color w:val="000000" w:themeColor="text1"/>
        </w:rPr>
      </w:pPr>
      <w:r w:rsidRPr="001764C0">
        <w:rPr>
          <w:rFonts w:cstheme="minorHAnsi"/>
          <w:color w:val="000000" w:themeColor="text1"/>
        </w:rPr>
        <w:t>The sustainability team is working closely with the Students’ Union</w:t>
      </w:r>
      <w:r w:rsidR="00937E17">
        <w:rPr>
          <w:rFonts w:cstheme="minorHAnsi"/>
          <w:color w:val="000000" w:themeColor="text1"/>
        </w:rPr>
        <w:t xml:space="preserve"> to engage students in sustainability, a volunteering channel has been set up to ena</w:t>
      </w:r>
      <w:r w:rsidR="007166C8">
        <w:rPr>
          <w:rFonts w:cstheme="minorHAnsi"/>
          <w:color w:val="000000" w:themeColor="text1"/>
        </w:rPr>
        <w:t>ble students to take part in sustainable action.</w:t>
      </w:r>
      <w:r w:rsidR="00BF382E">
        <w:rPr>
          <w:rFonts w:cstheme="minorHAnsi"/>
          <w:color w:val="000000" w:themeColor="text1"/>
        </w:rPr>
        <w:t xml:space="preserve"> </w:t>
      </w:r>
    </w:p>
    <w:p w14:paraId="73B2782F" w14:textId="77777777" w:rsidR="007166C8" w:rsidRDefault="007166C8" w:rsidP="00E52BE6">
      <w:pPr>
        <w:pStyle w:val="ListParagraph"/>
        <w:autoSpaceDE w:val="0"/>
        <w:autoSpaceDN w:val="0"/>
        <w:adjustRightInd w:val="0"/>
        <w:ind w:left="360"/>
        <w:rPr>
          <w:rFonts w:cstheme="minorHAnsi"/>
          <w:color w:val="000000" w:themeColor="text1"/>
        </w:rPr>
      </w:pPr>
    </w:p>
    <w:p w14:paraId="095E3323" w14:textId="24A4B34A" w:rsidR="007166C8" w:rsidRDefault="007166C8" w:rsidP="00E52BE6">
      <w:pPr>
        <w:pStyle w:val="ListParagraph"/>
        <w:autoSpaceDE w:val="0"/>
        <w:autoSpaceDN w:val="0"/>
        <w:adjustRightInd w:val="0"/>
        <w:ind w:left="360"/>
        <w:rPr>
          <w:rFonts w:cstheme="minorHAnsi"/>
          <w:color w:val="000000" w:themeColor="text1"/>
        </w:rPr>
      </w:pPr>
      <w:r>
        <w:rPr>
          <w:rFonts w:cstheme="minorHAnsi"/>
          <w:color w:val="000000" w:themeColor="text1"/>
        </w:rPr>
        <w:t xml:space="preserve">One area of student </w:t>
      </w:r>
      <w:r w:rsidR="005C3C76">
        <w:rPr>
          <w:rFonts w:cstheme="minorHAnsi"/>
          <w:color w:val="000000" w:themeColor="text1"/>
        </w:rPr>
        <w:t>engagement</w:t>
      </w:r>
      <w:r>
        <w:rPr>
          <w:rFonts w:cstheme="minorHAnsi"/>
          <w:color w:val="000000" w:themeColor="text1"/>
        </w:rPr>
        <w:t xml:space="preserve"> will be about </w:t>
      </w:r>
      <w:r w:rsidR="005C3C76">
        <w:rPr>
          <w:rFonts w:cstheme="minorHAnsi"/>
          <w:color w:val="000000" w:themeColor="text1"/>
        </w:rPr>
        <w:t xml:space="preserve">raising awareness around sustainability and student volunteers will run a pop-up </w:t>
      </w:r>
      <w:r w:rsidR="00B56C98">
        <w:rPr>
          <w:rFonts w:cstheme="minorHAnsi"/>
          <w:color w:val="000000" w:themeColor="text1"/>
        </w:rPr>
        <w:t>called ‘How bad are bananas’ a game comparing the carbon footprint of ev</w:t>
      </w:r>
      <w:r w:rsidR="008E4760">
        <w:rPr>
          <w:rFonts w:cstheme="minorHAnsi"/>
          <w:color w:val="000000" w:themeColor="text1"/>
        </w:rPr>
        <w:t>eryday life choices.</w:t>
      </w:r>
    </w:p>
    <w:p w14:paraId="670468E3" w14:textId="77777777" w:rsidR="00D775A0" w:rsidRDefault="00D775A0" w:rsidP="00E52BE6">
      <w:pPr>
        <w:pStyle w:val="ListParagraph"/>
        <w:autoSpaceDE w:val="0"/>
        <w:autoSpaceDN w:val="0"/>
        <w:adjustRightInd w:val="0"/>
        <w:ind w:left="360"/>
        <w:rPr>
          <w:rFonts w:cstheme="minorHAnsi"/>
          <w:color w:val="000000" w:themeColor="text1"/>
        </w:rPr>
      </w:pPr>
    </w:p>
    <w:p w14:paraId="2EF1463D" w14:textId="6CD346C5" w:rsidR="00D775A0" w:rsidRPr="001764C0" w:rsidRDefault="00D775A0" w:rsidP="00E52BE6">
      <w:pPr>
        <w:pStyle w:val="ListParagraph"/>
        <w:autoSpaceDE w:val="0"/>
        <w:autoSpaceDN w:val="0"/>
        <w:adjustRightInd w:val="0"/>
        <w:ind w:left="360"/>
        <w:rPr>
          <w:rFonts w:cstheme="minorHAnsi"/>
          <w:color w:val="000000" w:themeColor="text1"/>
        </w:rPr>
      </w:pPr>
      <w:r>
        <w:rPr>
          <w:rFonts w:cstheme="minorHAnsi"/>
          <w:color w:val="000000" w:themeColor="text1"/>
        </w:rPr>
        <w:t xml:space="preserve">Sustainability </w:t>
      </w:r>
      <w:r w:rsidR="008D56AF">
        <w:rPr>
          <w:rFonts w:cstheme="minorHAnsi"/>
          <w:color w:val="000000" w:themeColor="text1"/>
        </w:rPr>
        <w:t>is</w:t>
      </w:r>
      <w:r>
        <w:rPr>
          <w:rFonts w:cstheme="minorHAnsi"/>
          <w:color w:val="000000" w:themeColor="text1"/>
        </w:rPr>
        <w:t xml:space="preserve"> also working with the Careers Team to offer students </w:t>
      </w:r>
      <w:r w:rsidR="00B14859">
        <w:rPr>
          <w:rFonts w:cstheme="minorHAnsi"/>
          <w:color w:val="000000" w:themeColor="text1"/>
        </w:rPr>
        <w:t xml:space="preserve">information about sustainable work. The autumn Careers Fair had a </w:t>
      </w:r>
      <w:r w:rsidR="007F442E">
        <w:rPr>
          <w:rFonts w:cstheme="minorHAnsi"/>
          <w:color w:val="000000" w:themeColor="text1"/>
        </w:rPr>
        <w:t>sustainable</w:t>
      </w:r>
      <w:r w:rsidR="00B14859">
        <w:rPr>
          <w:rFonts w:cstheme="minorHAnsi"/>
          <w:color w:val="000000" w:themeColor="text1"/>
        </w:rPr>
        <w:t xml:space="preserve"> </w:t>
      </w:r>
      <w:r w:rsidR="007F442E">
        <w:rPr>
          <w:rFonts w:cstheme="minorHAnsi"/>
          <w:color w:val="000000" w:themeColor="text1"/>
        </w:rPr>
        <w:t>make over</w:t>
      </w:r>
      <w:r w:rsidR="008D56AF">
        <w:rPr>
          <w:rFonts w:cstheme="minorHAnsi"/>
          <w:color w:val="000000" w:themeColor="text1"/>
        </w:rPr>
        <w:t xml:space="preserve"> – with companies travelling to the event sustainably, giving out low impact freebies, going paperless as well as promoting sustainable careers.</w:t>
      </w:r>
    </w:p>
    <w:p w14:paraId="03020048" w14:textId="77777777" w:rsidR="00E52BE6" w:rsidRDefault="00E52BE6" w:rsidP="00E52BE6">
      <w:pPr>
        <w:pStyle w:val="ListParagraph"/>
        <w:autoSpaceDE w:val="0"/>
        <w:autoSpaceDN w:val="0"/>
        <w:adjustRightInd w:val="0"/>
        <w:ind w:left="360"/>
        <w:rPr>
          <w:rFonts w:cstheme="minorHAnsi"/>
          <w:b/>
          <w:bCs/>
          <w:color w:val="000000" w:themeColor="text1"/>
          <w:sz w:val="24"/>
          <w:szCs w:val="24"/>
        </w:rPr>
      </w:pPr>
    </w:p>
    <w:p w14:paraId="07B9F50A" w14:textId="653B7E7F" w:rsidR="006E5EF3" w:rsidRPr="006E5EF3" w:rsidRDefault="00276503" w:rsidP="006E5EF3">
      <w:pPr>
        <w:pStyle w:val="ListParagraph"/>
        <w:numPr>
          <w:ilvl w:val="0"/>
          <w:numId w:val="2"/>
        </w:numPr>
        <w:autoSpaceDE w:val="0"/>
        <w:autoSpaceDN w:val="0"/>
        <w:adjustRightInd w:val="0"/>
        <w:rPr>
          <w:rFonts w:cstheme="minorHAnsi"/>
          <w:b/>
          <w:bCs/>
          <w:color w:val="000000" w:themeColor="text1"/>
          <w:sz w:val="24"/>
          <w:szCs w:val="24"/>
        </w:rPr>
      </w:pPr>
      <w:r>
        <w:rPr>
          <w:rFonts w:cstheme="minorHAnsi"/>
          <w:b/>
          <w:bCs/>
          <w:color w:val="000000" w:themeColor="text1"/>
          <w:sz w:val="24"/>
          <w:szCs w:val="24"/>
        </w:rPr>
        <w:t xml:space="preserve">2023/24 </w:t>
      </w:r>
      <w:r w:rsidR="006E5EF3" w:rsidRPr="006E5EF3">
        <w:rPr>
          <w:rFonts w:cstheme="minorHAnsi"/>
          <w:b/>
          <w:bCs/>
          <w:color w:val="000000" w:themeColor="text1"/>
          <w:sz w:val="24"/>
          <w:szCs w:val="24"/>
        </w:rPr>
        <w:t>plans</w:t>
      </w:r>
    </w:p>
    <w:p w14:paraId="03FA3769" w14:textId="3F95B95C" w:rsidR="006E5EF3" w:rsidRDefault="00276503" w:rsidP="000C79E1">
      <w:pPr>
        <w:ind w:left="360"/>
        <w:rPr>
          <w:rFonts w:cstheme="minorHAnsi"/>
          <w:color w:val="000000" w:themeColor="text1"/>
        </w:rPr>
      </w:pPr>
      <w:r>
        <w:rPr>
          <w:rFonts w:cstheme="minorHAnsi"/>
          <w:color w:val="000000" w:themeColor="text1"/>
        </w:rPr>
        <w:t xml:space="preserve">As well as the roll out of the switch-off campaign, </w:t>
      </w:r>
      <w:r w:rsidR="002177E1">
        <w:rPr>
          <w:rFonts w:cstheme="minorHAnsi"/>
          <w:color w:val="000000" w:themeColor="text1"/>
        </w:rPr>
        <w:t>LEAF and Green Impact</w:t>
      </w:r>
      <w:r w:rsidR="00961304">
        <w:rPr>
          <w:rFonts w:cstheme="minorHAnsi"/>
          <w:color w:val="000000" w:themeColor="text1"/>
        </w:rPr>
        <w:t xml:space="preserve"> and other activities noted in the report </w:t>
      </w:r>
      <w:r w:rsidR="00644976">
        <w:rPr>
          <w:rFonts w:cstheme="minorHAnsi"/>
          <w:color w:val="000000" w:themeColor="text1"/>
        </w:rPr>
        <w:t>above,</w:t>
      </w:r>
      <w:r w:rsidR="00961304">
        <w:rPr>
          <w:rFonts w:cstheme="minorHAnsi"/>
          <w:color w:val="000000" w:themeColor="text1"/>
        </w:rPr>
        <w:t xml:space="preserve"> </w:t>
      </w:r>
      <w:r w:rsidR="001953BA">
        <w:rPr>
          <w:rFonts w:cstheme="minorHAnsi"/>
          <w:color w:val="000000" w:themeColor="text1"/>
        </w:rPr>
        <w:t xml:space="preserve">EFCS </w:t>
      </w:r>
      <w:r w:rsidR="00961304">
        <w:rPr>
          <w:rFonts w:cstheme="minorHAnsi"/>
          <w:color w:val="000000" w:themeColor="text1"/>
        </w:rPr>
        <w:t>Sustainability</w:t>
      </w:r>
      <w:r w:rsidR="00644976">
        <w:rPr>
          <w:rFonts w:cstheme="minorHAnsi"/>
          <w:color w:val="000000" w:themeColor="text1"/>
        </w:rPr>
        <w:t xml:space="preserve"> </w:t>
      </w:r>
      <w:r w:rsidR="005153AA">
        <w:rPr>
          <w:rFonts w:cstheme="minorHAnsi"/>
          <w:color w:val="000000" w:themeColor="text1"/>
        </w:rPr>
        <w:t>aims</w:t>
      </w:r>
      <w:r w:rsidR="00644976">
        <w:rPr>
          <w:rFonts w:cstheme="minorHAnsi"/>
          <w:color w:val="000000" w:themeColor="text1"/>
        </w:rPr>
        <w:t xml:space="preserve"> to;</w:t>
      </w:r>
    </w:p>
    <w:p w14:paraId="7B6F0E8E" w14:textId="5AE293CE" w:rsidR="00644976" w:rsidRPr="007D116D" w:rsidRDefault="00644976" w:rsidP="007D116D">
      <w:pPr>
        <w:pStyle w:val="ListParagraph"/>
        <w:numPr>
          <w:ilvl w:val="1"/>
          <w:numId w:val="29"/>
        </w:numPr>
        <w:rPr>
          <w:rFonts w:cstheme="minorHAnsi"/>
          <w:color w:val="000000" w:themeColor="text1"/>
        </w:rPr>
      </w:pPr>
      <w:r w:rsidRPr="007D116D">
        <w:rPr>
          <w:rFonts w:cstheme="minorHAnsi"/>
          <w:color w:val="000000" w:themeColor="text1"/>
        </w:rPr>
        <w:t xml:space="preserve">Develop a unifying strategy for sustainability bringing together </w:t>
      </w:r>
      <w:r w:rsidR="00FC4C11" w:rsidRPr="007D116D">
        <w:rPr>
          <w:rFonts w:cstheme="minorHAnsi"/>
          <w:color w:val="000000" w:themeColor="text1"/>
        </w:rPr>
        <w:t xml:space="preserve">all elements of operations, with education, </w:t>
      </w:r>
      <w:r w:rsidR="00A842C9" w:rsidRPr="007D116D">
        <w:rPr>
          <w:rFonts w:cstheme="minorHAnsi"/>
          <w:color w:val="000000" w:themeColor="text1"/>
        </w:rPr>
        <w:t>research,</w:t>
      </w:r>
      <w:r w:rsidR="00FC4C11" w:rsidRPr="007D116D">
        <w:rPr>
          <w:rFonts w:cstheme="minorHAnsi"/>
          <w:color w:val="000000" w:themeColor="text1"/>
        </w:rPr>
        <w:t xml:space="preserve"> and civic engagement. Setting out aims, objective and targets </w:t>
      </w:r>
      <w:r w:rsidR="00615633" w:rsidRPr="007D116D">
        <w:rPr>
          <w:rFonts w:cstheme="minorHAnsi"/>
          <w:color w:val="000000" w:themeColor="text1"/>
        </w:rPr>
        <w:t xml:space="preserve">for all areas, integrating with the work on the Sustainable </w:t>
      </w:r>
      <w:r w:rsidR="00AA1385">
        <w:rPr>
          <w:rFonts w:cstheme="minorHAnsi"/>
          <w:color w:val="000000" w:themeColor="text1"/>
        </w:rPr>
        <w:t>D</w:t>
      </w:r>
      <w:r w:rsidR="00615633" w:rsidRPr="007D116D">
        <w:rPr>
          <w:rFonts w:cstheme="minorHAnsi"/>
          <w:color w:val="000000" w:themeColor="text1"/>
        </w:rPr>
        <w:t xml:space="preserve">evelopment </w:t>
      </w:r>
      <w:r w:rsidR="00AA1385">
        <w:rPr>
          <w:rFonts w:cstheme="minorHAnsi"/>
          <w:color w:val="000000" w:themeColor="text1"/>
        </w:rPr>
        <w:t>G</w:t>
      </w:r>
      <w:r w:rsidR="00615633" w:rsidRPr="007D116D">
        <w:rPr>
          <w:rFonts w:cstheme="minorHAnsi"/>
          <w:color w:val="000000" w:themeColor="text1"/>
        </w:rPr>
        <w:t>oals.</w:t>
      </w:r>
    </w:p>
    <w:p w14:paraId="106DE97A" w14:textId="061609B0" w:rsidR="00615633" w:rsidRPr="007D116D" w:rsidRDefault="00615633" w:rsidP="007D116D">
      <w:pPr>
        <w:pStyle w:val="ListParagraph"/>
        <w:numPr>
          <w:ilvl w:val="1"/>
          <w:numId w:val="29"/>
        </w:numPr>
        <w:rPr>
          <w:rFonts w:cstheme="minorHAnsi"/>
          <w:color w:val="000000" w:themeColor="text1"/>
        </w:rPr>
      </w:pPr>
      <w:r w:rsidRPr="007D116D">
        <w:rPr>
          <w:rFonts w:cstheme="minorHAnsi"/>
          <w:color w:val="000000" w:themeColor="text1"/>
        </w:rPr>
        <w:t xml:space="preserve">Driving forward </w:t>
      </w:r>
      <w:r w:rsidR="002112C5" w:rsidRPr="007D116D">
        <w:rPr>
          <w:rFonts w:cstheme="minorHAnsi"/>
          <w:color w:val="000000" w:themeColor="text1"/>
        </w:rPr>
        <w:t>plans for each of the 8 areas of the NZC framework. Starting with good housekeeping and energy efficiency measure to help reduce our demand.</w:t>
      </w:r>
      <w:r w:rsidR="003B1761">
        <w:rPr>
          <w:rFonts w:cstheme="minorHAnsi"/>
          <w:color w:val="000000" w:themeColor="text1"/>
        </w:rPr>
        <w:t xml:space="preserve"> But also to look at </w:t>
      </w:r>
      <w:r w:rsidR="00E76A20">
        <w:rPr>
          <w:rFonts w:cstheme="minorHAnsi"/>
          <w:color w:val="000000" w:themeColor="text1"/>
        </w:rPr>
        <w:t>sustainable principles for construction, delivery of renewable energy projects</w:t>
      </w:r>
      <w:r w:rsidR="00407A11">
        <w:rPr>
          <w:rFonts w:cstheme="minorHAnsi"/>
          <w:color w:val="000000" w:themeColor="text1"/>
        </w:rPr>
        <w:t xml:space="preserve"> and offsetting principles.</w:t>
      </w:r>
    </w:p>
    <w:p w14:paraId="1E641C6E" w14:textId="2510B009" w:rsidR="00AD50C8" w:rsidRPr="007D116D" w:rsidRDefault="00AD50C8" w:rsidP="007D116D">
      <w:pPr>
        <w:pStyle w:val="ListParagraph"/>
        <w:numPr>
          <w:ilvl w:val="1"/>
          <w:numId w:val="29"/>
        </w:numPr>
        <w:rPr>
          <w:rFonts w:cstheme="minorHAnsi"/>
          <w:color w:val="000000" w:themeColor="text1"/>
        </w:rPr>
      </w:pPr>
      <w:r w:rsidRPr="007D116D">
        <w:rPr>
          <w:rFonts w:cstheme="minorHAnsi"/>
          <w:color w:val="000000" w:themeColor="text1"/>
        </w:rPr>
        <w:t>Setting out a target for scope 3 carbon emissions reduction with a plan for delivering this target.</w:t>
      </w:r>
    </w:p>
    <w:p w14:paraId="7EC568C3" w14:textId="36C57F30" w:rsidR="00BE14FC" w:rsidRPr="007D116D" w:rsidRDefault="00BE14FC" w:rsidP="007D116D">
      <w:pPr>
        <w:pStyle w:val="ListParagraph"/>
        <w:numPr>
          <w:ilvl w:val="1"/>
          <w:numId w:val="29"/>
        </w:numPr>
        <w:rPr>
          <w:rFonts w:cstheme="minorHAnsi"/>
          <w:color w:val="000000" w:themeColor="text1"/>
        </w:rPr>
      </w:pPr>
      <w:r w:rsidRPr="007D116D">
        <w:rPr>
          <w:rFonts w:cstheme="minorHAnsi"/>
          <w:color w:val="000000" w:themeColor="text1"/>
        </w:rPr>
        <w:t>Writing a climate resilience and adaptation plan to address the</w:t>
      </w:r>
      <w:r w:rsidR="00A842C9" w:rsidRPr="007D116D">
        <w:rPr>
          <w:rFonts w:cstheme="minorHAnsi"/>
          <w:color w:val="000000" w:themeColor="text1"/>
        </w:rPr>
        <w:t xml:space="preserve"> growing risk </w:t>
      </w:r>
      <w:r w:rsidR="0019575B" w:rsidRPr="007D116D">
        <w:rPr>
          <w:rFonts w:cstheme="minorHAnsi"/>
          <w:color w:val="000000" w:themeColor="text1"/>
        </w:rPr>
        <w:t>that climate change poses for the University.</w:t>
      </w:r>
    </w:p>
    <w:p w14:paraId="4AC5B59D" w14:textId="7C480D36" w:rsidR="005153AA" w:rsidRDefault="005153AA" w:rsidP="007D116D">
      <w:pPr>
        <w:pStyle w:val="ListParagraph"/>
        <w:numPr>
          <w:ilvl w:val="1"/>
          <w:numId w:val="29"/>
        </w:numPr>
        <w:rPr>
          <w:rFonts w:cstheme="minorHAnsi"/>
          <w:color w:val="000000" w:themeColor="text1"/>
        </w:rPr>
      </w:pPr>
      <w:r>
        <w:rPr>
          <w:rFonts w:cstheme="minorHAnsi"/>
          <w:color w:val="000000" w:themeColor="text1"/>
        </w:rPr>
        <w:t xml:space="preserve">Work with stakeholders to </w:t>
      </w:r>
      <w:r w:rsidR="00BF382E">
        <w:rPr>
          <w:rFonts w:cstheme="minorHAnsi"/>
          <w:color w:val="000000" w:themeColor="text1"/>
        </w:rPr>
        <w:t>create a sustainability communications plan.</w:t>
      </w:r>
    </w:p>
    <w:p w14:paraId="617DFB56" w14:textId="0189060D" w:rsidR="00A22A8E" w:rsidRDefault="00A22A8E" w:rsidP="007D116D">
      <w:pPr>
        <w:pStyle w:val="ListParagraph"/>
        <w:numPr>
          <w:ilvl w:val="1"/>
          <w:numId w:val="29"/>
        </w:numPr>
        <w:rPr>
          <w:rFonts w:cstheme="minorHAnsi"/>
          <w:color w:val="000000" w:themeColor="text1"/>
        </w:rPr>
      </w:pPr>
      <w:r>
        <w:rPr>
          <w:rFonts w:cstheme="minorHAnsi"/>
          <w:color w:val="000000" w:themeColor="text1"/>
        </w:rPr>
        <w:t>Run termly Sustainability Assembly open to all staff and students to help shape actions around sustainability.</w:t>
      </w:r>
    </w:p>
    <w:p w14:paraId="53C315D3" w14:textId="03D30816" w:rsidR="003E0656" w:rsidRPr="00E227A5" w:rsidRDefault="00D91C90" w:rsidP="00E227A5">
      <w:pPr>
        <w:pStyle w:val="ListParagraph"/>
        <w:numPr>
          <w:ilvl w:val="1"/>
          <w:numId w:val="29"/>
        </w:numPr>
        <w:rPr>
          <w:rFonts w:cstheme="minorHAnsi"/>
          <w:color w:val="000000" w:themeColor="text1"/>
        </w:rPr>
      </w:pPr>
      <w:r w:rsidRPr="007D116D">
        <w:rPr>
          <w:rFonts w:cstheme="minorHAnsi"/>
          <w:color w:val="000000" w:themeColor="text1"/>
        </w:rPr>
        <w:t xml:space="preserve">Deliver the first phase of EV charging on </w:t>
      </w:r>
      <w:r w:rsidR="0016545A" w:rsidRPr="007D116D">
        <w:rPr>
          <w:rFonts w:cstheme="minorHAnsi"/>
          <w:color w:val="000000" w:themeColor="text1"/>
        </w:rPr>
        <w:t>our campuses.</w:t>
      </w:r>
    </w:p>
    <w:p w14:paraId="58EDB831" w14:textId="7ADF59E1" w:rsidR="002112C5" w:rsidRPr="007D116D" w:rsidRDefault="00C07B31" w:rsidP="007D116D">
      <w:pPr>
        <w:pStyle w:val="ListParagraph"/>
        <w:numPr>
          <w:ilvl w:val="1"/>
          <w:numId w:val="29"/>
        </w:numPr>
        <w:rPr>
          <w:rFonts w:cstheme="minorHAnsi"/>
          <w:color w:val="000000" w:themeColor="text1"/>
        </w:rPr>
      </w:pPr>
      <w:r w:rsidRPr="007D116D">
        <w:rPr>
          <w:rFonts w:cstheme="minorHAnsi"/>
          <w:color w:val="000000" w:themeColor="text1"/>
        </w:rPr>
        <w:t>Creat</w:t>
      </w:r>
      <w:r w:rsidR="00B17A17">
        <w:rPr>
          <w:rFonts w:cstheme="minorHAnsi"/>
          <w:color w:val="000000" w:themeColor="text1"/>
        </w:rPr>
        <w:t>e</w:t>
      </w:r>
      <w:r w:rsidRPr="007D116D">
        <w:rPr>
          <w:rFonts w:cstheme="minorHAnsi"/>
          <w:color w:val="000000" w:themeColor="text1"/>
        </w:rPr>
        <w:t xml:space="preserve"> a Green Events Guide.</w:t>
      </w:r>
    </w:p>
    <w:p w14:paraId="15002DEB" w14:textId="1678C84E" w:rsidR="00755E35" w:rsidRDefault="00344EC9" w:rsidP="004B2405">
      <w:pPr>
        <w:ind w:left="360"/>
        <w:rPr>
          <w:rFonts w:cstheme="minorHAnsi"/>
          <w:color w:val="000000" w:themeColor="text1"/>
        </w:rPr>
      </w:pPr>
      <w:r>
        <w:rPr>
          <w:rFonts w:cstheme="minorHAnsi"/>
          <w:color w:val="000000" w:themeColor="text1"/>
        </w:rPr>
        <w:t xml:space="preserve">Future sustainability reports will align with the proposed </w:t>
      </w:r>
      <w:r w:rsidR="00EC08BE">
        <w:rPr>
          <w:rFonts w:cstheme="minorHAnsi"/>
          <w:color w:val="000000" w:themeColor="text1"/>
        </w:rPr>
        <w:t>strategic goals and targets for sustainability and integrate with SDG work.</w:t>
      </w:r>
    </w:p>
    <w:p w14:paraId="13E221E8" w14:textId="77777777" w:rsidR="002177E1" w:rsidRDefault="002177E1" w:rsidP="006E5EF3">
      <w:pPr>
        <w:ind w:left="360"/>
        <w:rPr>
          <w:rFonts w:cstheme="minorHAnsi"/>
          <w:color w:val="000000" w:themeColor="text1"/>
        </w:rPr>
      </w:pPr>
    </w:p>
    <w:p w14:paraId="6F1E3C3F" w14:textId="77777777" w:rsidR="00F8525D" w:rsidRPr="005B56DA" w:rsidRDefault="00F8525D" w:rsidP="00906254">
      <w:pPr>
        <w:pStyle w:val="ListParagraph"/>
        <w:jc w:val="both"/>
        <w:rPr>
          <w:rFonts w:cstheme="minorHAnsi"/>
        </w:rPr>
      </w:pPr>
    </w:p>
    <w:p w14:paraId="61A67833" w14:textId="77777777" w:rsidR="00F8525D" w:rsidRPr="005B56DA" w:rsidRDefault="00F8525D" w:rsidP="00906254">
      <w:pPr>
        <w:pStyle w:val="ListParagraph"/>
        <w:jc w:val="both"/>
        <w:rPr>
          <w:rFonts w:cstheme="minorHAnsi"/>
        </w:rPr>
      </w:pPr>
    </w:p>
    <w:sectPr w:rsidR="00F8525D" w:rsidRPr="005B56D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D758" w14:textId="77777777" w:rsidR="002639B5" w:rsidRDefault="002639B5" w:rsidP="00D50BAA">
      <w:pPr>
        <w:spacing w:after="0" w:line="240" w:lineRule="auto"/>
      </w:pPr>
      <w:r>
        <w:separator/>
      </w:r>
    </w:p>
  </w:endnote>
  <w:endnote w:type="continuationSeparator" w:id="0">
    <w:p w14:paraId="48B54702" w14:textId="77777777" w:rsidR="002639B5" w:rsidRDefault="002639B5" w:rsidP="00D5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C6C1" w14:textId="77777777" w:rsidR="00224AF1" w:rsidRDefault="00224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DAD" w14:textId="77777777" w:rsidR="00224AF1" w:rsidRDefault="00224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0338" w14:textId="77777777" w:rsidR="00224AF1" w:rsidRDefault="00224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8C2F" w14:textId="77777777" w:rsidR="002639B5" w:rsidRDefault="002639B5" w:rsidP="00D50BAA">
      <w:pPr>
        <w:spacing w:after="0" w:line="240" w:lineRule="auto"/>
      </w:pPr>
      <w:r>
        <w:separator/>
      </w:r>
    </w:p>
  </w:footnote>
  <w:footnote w:type="continuationSeparator" w:id="0">
    <w:p w14:paraId="665B858A" w14:textId="77777777" w:rsidR="002639B5" w:rsidRDefault="002639B5" w:rsidP="00D5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2981" w14:textId="77777777" w:rsidR="00224AF1" w:rsidRDefault="00224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503" w:type="dxa"/>
      <w:tblInd w:w="4673" w:type="dxa"/>
      <w:tblLook w:val="04A0" w:firstRow="1" w:lastRow="0" w:firstColumn="1" w:lastColumn="0" w:noHBand="0" w:noVBand="1"/>
    </w:tblPr>
    <w:tblGrid>
      <w:gridCol w:w="1276"/>
      <w:gridCol w:w="4227"/>
    </w:tblGrid>
    <w:tr w:rsidR="00550F86" w14:paraId="60F15B4D" w14:textId="77777777" w:rsidTr="00550F86">
      <w:trPr>
        <w:trHeight w:val="264"/>
      </w:trPr>
      <w:tc>
        <w:tcPr>
          <w:tcW w:w="1276" w:type="dxa"/>
        </w:tcPr>
        <w:p w14:paraId="3B257B1D" w14:textId="77777777" w:rsidR="00550F86" w:rsidRPr="00865866" w:rsidRDefault="00550F86" w:rsidP="00550F86">
          <w:pPr>
            <w:pStyle w:val="Header"/>
            <w:jc w:val="right"/>
            <w:rPr>
              <w:b/>
              <w:sz w:val="16"/>
            </w:rPr>
          </w:pPr>
          <w:r w:rsidRPr="00865866">
            <w:rPr>
              <w:b/>
              <w:sz w:val="16"/>
            </w:rPr>
            <w:t>Document Title</w:t>
          </w:r>
        </w:p>
      </w:tc>
      <w:tc>
        <w:tcPr>
          <w:tcW w:w="4227" w:type="dxa"/>
        </w:tcPr>
        <w:p w14:paraId="27F0EE43" w14:textId="50B17B6A" w:rsidR="00550F86" w:rsidRPr="00865866" w:rsidRDefault="00371128" w:rsidP="00371128">
          <w:pPr>
            <w:pStyle w:val="Header"/>
            <w:ind w:left="-108"/>
            <w:jc w:val="right"/>
            <w:rPr>
              <w:sz w:val="16"/>
            </w:rPr>
          </w:pPr>
          <w:r>
            <w:rPr>
              <w:sz w:val="16"/>
            </w:rPr>
            <w:t>202</w:t>
          </w:r>
          <w:r w:rsidR="00224AF1">
            <w:rPr>
              <w:sz w:val="16"/>
            </w:rPr>
            <w:t>2</w:t>
          </w:r>
          <w:r>
            <w:rPr>
              <w:sz w:val="16"/>
            </w:rPr>
            <w:t>/2</w:t>
          </w:r>
          <w:r w:rsidR="00224AF1">
            <w:rPr>
              <w:sz w:val="16"/>
            </w:rPr>
            <w:t>3</w:t>
          </w:r>
          <w:r>
            <w:rPr>
              <w:sz w:val="16"/>
            </w:rPr>
            <w:t xml:space="preserve"> Sustainability Report </w:t>
          </w:r>
        </w:p>
      </w:tc>
    </w:tr>
    <w:tr w:rsidR="00550F86" w14:paraId="76BAA189" w14:textId="77777777" w:rsidTr="00550F86">
      <w:trPr>
        <w:trHeight w:val="250"/>
      </w:trPr>
      <w:tc>
        <w:tcPr>
          <w:tcW w:w="1276" w:type="dxa"/>
        </w:tcPr>
        <w:p w14:paraId="26488672" w14:textId="77777777" w:rsidR="00550F86" w:rsidRPr="00865866" w:rsidRDefault="00550F86" w:rsidP="00550F86">
          <w:pPr>
            <w:pStyle w:val="Header"/>
            <w:ind w:left="-108"/>
            <w:jc w:val="right"/>
            <w:rPr>
              <w:b/>
              <w:sz w:val="16"/>
            </w:rPr>
          </w:pPr>
          <w:r w:rsidRPr="00865866">
            <w:rPr>
              <w:b/>
              <w:sz w:val="16"/>
            </w:rPr>
            <w:t>Author</w:t>
          </w:r>
        </w:p>
      </w:tc>
      <w:tc>
        <w:tcPr>
          <w:tcW w:w="4227" w:type="dxa"/>
        </w:tcPr>
        <w:p w14:paraId="475A855A" w14:textId="2F8C5F73" w:rsidR="00550F86" w:rsidRPr="00865866" w:rsidRDefault="00F8525D" w:rsidP="00550F86">
          <w:pPr>
            <w:pStyle w:val="Header"/>
            <w:jc w:val="right"/>
            <w:rPr>
              <w:sz w:val="16"/>
            </w:rPr>
          </w:pPr>
          <w:r>
            <w:rPr>
              <w:sz w:val="16"/>
            </w:rPr>
            <w:t>Jo Bell – Head of EF</w:t>
          </w:r>
          <w:r w:rsidR="00AD180E">
            <w:rPr>
              <w:sz w:val="16"/>
            </w:rPr>
            <w:t>C</w:t>
          </w:r>
          <w:r>
            <w:rPr>
              <w:sz w:val="16"/>
            </w:rPr>
            <w:t>S, Bob Nichol – PVC ED FEPS</w:t>
          </w:r>
        </w:p>
      </w:tc>
    </w:tr>
    <w:tr w:rsidR="00550F86" w14:paraId="74CD38DE" w14:textId="77777777" w:rsidTr="00550F86">
      <w:trPr>
        <w:trHeight w:val="250"/>
      </w:trPr>
      <w:tc>
        <w:tcPr>
          <w:tcW w:w="1276" w:type="dxa"/>
        </w:tcPr>
        <w:p w14:paraId="70D40EC9" w14:textId="77777777" w:rsidR="00550F86" w:rsidRPr="00865866" w:rsidRDefault="00550F86" w:rsidP="00550F86">
          <w:pPr>
            <w:pStyle w:val="Header"/>
            <w:jc w:val="right"/>
            <w:rPr>
              <w:b/>
              <w:sz w:val="16"/>
            </w:rPr>
          </w:pPr>
          <w:r w:rsidRPr="00865866">
            <w:rPr>
              <w:b/>
              <w:sz w:val="16"/>
            </w:rPr>
            <w:t>Status</w:t>
          </w:r>
        </w:p>
      </w:tc>
      <w:tc>
        <w:tcPr>
          <w:tcW w:w="4227" w:type="dxa"/>
        </w:tcPr>
        <w:p w14:paraId="12482557" w14:textId="2BE8A893" w:rsidR="00550F86" w:rsidRPr="00865866" w:rsidRDefault="00550F86" w:rsidP="00550F86">
          <w:pPr>
            <w:pStyle w:val="Header"/>
            <w:jc w:val="right"/>
            <w:rPr>
              <w:sz w:val="16"/>
            </w:rPr>
          </w:pPr>
          <w:r>
            <w:rPr>
              <w:sz w:val="16"/>
            </w:rPr>
            <w:t>1.</w:t>
          </w:r>
          <w:r w:rsidR="00916A8B">
            <w:rPr>
              <w:sz w:val="16"/>
            </w:rPr>
            <w:t>1</w:t>
          </w:r>
        </w:p>
      </w:tc>
    </w:tr>
    <w:tr w:rsidR="00550F86" w14:paraId="3C7166F4" w14:textId="77777777" w:rsidTr="00550F86">
      <w:trPr>
        <w:trHeight w:val="250"/>
      </w:trPr>
      <w:tc>
        <w:tcPr>
          <w:tcW w:w="1276" w:type="dxa"/>
        </w:tcPr>
        <w:p w14:paraId="000B9AAF" w14:textId="77777777" w:rsidR="00550F86" w:rsidRPr="00865866" w:rsidRDefault="00550F86" w:rsidP="00550F86">
          <w:pPr>
            <w:pStyle w:val="Header"/>
            <w:jc w:val="right"/>
            <w:rPr>
              <w:b/>
              <w:sz w:val="16"/>
            </w:rPr>
          </w:pPr>
          <w:r w:rsidRPr="00865866">
            <w:rPr>
              <w:b/>
              <w:sz w:val="16"/>
            </w:rPr>
            <w:t>Date</w:t>
          </w:r>
        </w:p>
      </w:tc>
      <w:tc>
        <w:tcPr>
          <w:tcW w:w="4227" w:type="dxa"/>
        </w:tcPr>
        <w:p w14:paraId="5839CCC4" w14:textId="70C502A0" w:rsidR="00550F86" w:rsidRPr="00865866" w:rsidRDefault="00882FE7" w:rsidP="00550F86">
          <w:pPr>
            <w:pStyle w:val="Header"/>
            <w:jc w:val="right"/>
            <w:rPr>
              <w:sz w:val="16"/>
            </w:rPr>
          </w:pPr>
          <w:r>
            <w:rPr>
              <w:sz w:val="16"/>
            </w:rPr>
            <w:t>07</w:t>
          </w:r>
          <w:r w:rsidR="00371128">
            <w:rPr>
              <w:sz w:val="16"/>
            </w:rPr>
            <w:t>/</w:t>
          </w:r>
          <w:r w:rsidR="00F8525D">
            <w:rPr>
              <w:sz w:val="16"/>
            </w:rPr>
            <w:t>11</w:t>
          </w:r>
          <w:r w:rsidR="00371128">
            <w:rPr>
              <w:sz w:val="16"/>
            </w:rPr>
            <w:t>/202</w:t>
          </w:r>
          <w:r>
            <w:rPr>
              <w:sz w:val="16"/>
            </w:rPr>
            <w:t>3</w:t>
          </w:r>
        </w:p>
      </w:tc>
    </w:tr>
  </w:tbl>
  <w:p w14:paraId="65876765" w14:textId="03DE5A49" w:rsidR="00550F86" w:rsidRDefault="0055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919E" w14:textId="77777777" w:rsidR="00224AF1" w:rsidRDefault="00224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01F"/>
    <w:multiLevelType w:val="hybridMultilevel"/>
    <w:tmpl w:val="95C08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9D413A"/>
    <w:multiLevelType w:val="hybridMultilevel"/>
    <w:tmpl w:val="34E6B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375B00"/>
    <w:multiLevelType w:val="hybridMultilevel"/>
    <w:tmpl w:val="086ED92E"/>
    <w:lvl w:ilvl="0" w:tplc="9FBECE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833C6"/>
    <w:multiLevelType w:val="hybridMultilevel"/>
    <w:tmpl w:val="039A8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2737B2"/>
    <w:multiLevelType w:val="hybridMultilevel"/>
    <w:tmpl w:val="E5E66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942F3"/>
    <w:multiLevelType w:val="hybridMultilevel"/>
    <w:tmpl w:val="B9D0FF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60A78"/>
    <w:multiLevelType w:val="hybridMultilevel"/>
    <w:tmpl w:val="7A44FC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3218DF"/>
    <w:multiLevelType w:val="hybridMultilevel"/>
    <w:tmpl w:val="D39ED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D62775"/>
    <w:multiLevelType w:val="multilevel"/>
    <w:tmpl w:val="539A974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0337C"/>
    <w:multiLevelType w:val="multilevel"/>
    <w:tmpl w:val="91282F9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BA32B8"/>
    <w:multiLevelType w:val="hybridMultilevel"/>
    <w:tmpl w:val="0BF0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C45C35"/>
    <w:multiLevelType w:val="hybridMultilevel"/>
    <w:tmpl w:val="5F2C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E1B81"/>
    <w:multiLevelType w:val="hybridMultilevel"/>
    <w:tmpl w:val="C2F6C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3D50FE"/>
    <w:multiLevelType w:val="hybridMultilevel"/>
    <w:tmpl w:val="C9682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D7794D"/>
    <w:multiLevelType w:val="hybridMultilevel"/>
    <w:tmpl w:val="C41285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32E177F"/>
    <w:multiLevelType w:val="hybridMultilevel"/>
    <w:tmpl w:val="40126F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335F058F"/>
    <w:multiLevelType w:val="hybridMultilevel"/>
    <w:tmpl w:val="CE96FBD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370F7B2F"/>
    <w:multiLevelType w:val="hybridMultilevel"/>
    <w:tmpl w:val="1B3E69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015FAA"/>
    <w:multiLevelType w:val="hybridMultilevel"/>
    <w:tmpl w:val="7B9CABE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412E559E"/>
    <w:multiLevelType w:val="hybridMultilevel"/>
    <w:tmpl w:val="8DCE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69769B"/>
    <w:multiLevelType w:val="hybridMultilevel"/>
    <w:tmpl w:val="BA480074"/>
    <w:lvl w:ilvl="0" w:tplc="FFAAC406">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317151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478044E6"/>
    <w:multiLevelType w:val="hybridMultilevel"/>
    <w:tmpl w:val="ED2418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BB1B0E"/>
    <w:multiLevelType w:val="hybridMultilevel"/>
    <w:tmpl w:val="2E609B4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524F6CBB"/>
    <w:multiLevelType w:val="hybridMultilevel"/>
    <w:tmpl w:val="18C6DB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3843741"/>
    <w:multiLevelType w:val="hybridMultilevel"/>
    <w:tmpl w:val="D1AE818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6" w15:restartNumberingAfterBreak="0">
    <w:nsid w:val="5DB95EE1"/>
    <w:multiLevelType w:val="multilevel"/>
    <w:tmpl w:val="718094EC"/>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1C1DA0"/>
    <w:multiLevelType w:val="hybridMultilevel"/>
    <w:tmpl w:val="8CC28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5F6422"/>
    <w:multiLevelType w:val="hybridMultilevel"/>
    <w:tmpl w:val="6E02C4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D67BF9"/>
    <w:multiLevelType w:val="hybridMultilevel"/>
    <w:tmpl w:val="C8B0AD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280B87"/>
    <w:multiLevelType w:val="hybridMultilevel"/>
    <w:tmpl w:val="D76CC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96437"/>
    <w:multiLevelType w:val="hybridMultilevel"/>
    <w:tmpl w:val="DAC69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5E2632"/>
    <w:multiLevelType w:val="hybridMultilevel"/>
    <w:tmpl w:val="FD74E9B2"/>
    <w:lvl w:ilvl="0" w:tplc="3790F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63042F"/>
    <w:multiLevelType w:val="hybridMultilevel"/>
    <w:tmpl w:val="5EF8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33A95"/>
    <w:multiLevelType w:val="hybridMultilevel"/>
    <w:tmpl w:val="413C01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F287FFA"/>
    <w:multiLevelType w:val="hybridMultilevel"/>
    <w:tmpl w:val="CC06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400964">
    <w:abstractNumId w:val="4"/>
  </w:num>
  <w:num w:numId="2" w16cid:durableId="1518731765">
    <w:abstractNumId w:val="26"/>
  </w:num>
  <w:num w:numId="3" w16cid:durableId="1021785229">
    <w:abstractNumId w:val="21"/>
  </w:num>
  <w:num w:numId="4" w16cid:durableId="920408104">
    <w:abstractNumId w:val="32"/>
  </w:num>
  <w:num w:numId="5" w16cid:durableId="1755472077">
    <w:abstractNumId w:val="30"/>
  </w:num>
  <w:num w:numId="6" w16cid:durableId="913979058">
    <w:abstractNumId w:val="9"/>
  </w:num>
  <w:num w:numId="7" w16cid:durableId="1172523914">
    <w:abstractNumId w:val="18"/>
  </w:num>
  <w:num w:numId="8" w16cid:durableId="2061242801">
    <w:abstractNumId w:val="15"/>
  </w:num>
  <w:num w:numId="9" w16cid:durableId="62144304">
    <w:abstractNumId w:val="17"/>
  </w:num>
  <w:num w:numId="10" w16cid:durableId="1361786560">
    <w:abstractNumId w:val="28"/>
  </w:num>
  <w:num w:numId="11" w16cid:durableId="33117086">
    <w:abstractNumId w:val="16"/>
  </w:num>
  <w:num w:numId="12" w16cid:durableId="2111854910">
    <w:abstractNumId w:val="25"/>
  </w:num>
  <w:num w:numId="13" w16cid:durableId="1711026435">
    <w:abstractNumId w:val="3"/>
  </w:num>
  <w:num w:numId="14" w16cid:durableId="2017033431">
    <w:abstractNumId w:val="35"/>
  </w:num>
  <w:num w:numId="15" w16cid:durableId="1610503661">
    <w:abstractNumId w:val="23"/>
  </w:num>
  <w:num w:numId="16" w16cid:durableId="461310140">
    <w:abstractNumId w:val="24"/>
  </w:num>
  <w:num w:numId="17" w16cid:durableId="130947960">
    <w:abstractNumId w:val="14"/>
  </w:num>
  <w:num w:numId="18" w16cid:durableId="1999723618">
    <w:abstractNumId w:val="34"/>
  </w:num>
  <w:num w:numId="19" w16cid:durableId="1623880582">
    <w:abstractNumId w:val="0"/>
  </w:num>
  <w:num w:numId="20" w16cid:durableId="2039967669">
    <w:abstractNumId w:val="13"/>
  </w:num>
  <w:num w:numId="21" w16cid:durableId="71198140">
    <w:abstractNumId w:val="1"/>
  </w:num>
  <w:num w:numId="22" w16cid:durableId="863788394">
    <w:abstractNumId w:val="11"/>
  </w:num>
  <w:num w:numId="23" w16cid:durableId="1271353205">
    <w:abstractNumId w:val="12"/>
  </w:num>
  <w:num w:numId="24" w16cid:durableId="1623686821">
    <w:abstractNumId w:val="5"/>
  </w:num>
  <w:num w:numId="25" w16cid:durableId="298071784">
    <w:abstractNumId w:val="20"/>
  </w:num>
  <w:num w:numId="26" w16cid:durableId="1047485410">
    <w:abstractNumId w:val="10"/>
  </w:num>
  <w:num w:numId="27" w16cid:durableId="890846296">
    <w:abstractNumId w:val="33"/>
  </w:num>
  <w:num w:numId="28" w16cid:durableId="718864777">
    <w:abstractNumId w:val="7"/>
  </w:num>
  <w:num w:numId="29" w16cid:durableId="1952930475">
    <w:abstractNumId w:val="8"/>
  </w:num>
  <w:num w:numId="30" w16cid:durableId="1049837138">
    <w:abstractNumId w:val="6"/>
  </w:num>
  <w:num w:numId="31" w16cid:durableId="1390960561">
    <w:abstractNumId w:val="2"/>
  </w:num>
  <w:num w:numId="32" w16cid:durableId="218321846">
    <w:abstractNumId w:val="22"/>
  </w:num>
  <w:num w:numId="33" w16cid:durableId="1551453811">
    <w:abstractNumId w:val="27"/>
  </w:num>
  <w:num w:numId="34" w16cid:durableId="452796043">
    <w:abstractNumId w:val="29"/>
  </w:num>
  <w:num w:numId="35" w16cid:durableId="219093045">
    <w:abstractNumId w:val="31"/>
  </w:num>
  <w:num w:numId="36" w16cid:durableId="12972935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01"/>
    <w:rsid w:val="00005283"/>
    <w:rsid w:val="00012EE9"/>
    <w:rsid w:val="0002583C"/>
    <w:rsid w:val="00036FF8"/>
    <w:rsid w:val="00037A9D"/>
    <w:rsid w:val="00037B9C"/>
    <w:rsid w:val="000429FA"/>
    <w:rsid w:val="000448D6"/>
    <w:rsid w:val="000503EA"/>
    <w:rsid w:val="00052481"/>
    <w:rsid w:val="00052955"/>
    <w:rsid w:val="00072012"/>
    <w:rsid w:val="00075D73"/>
    <w:rsid w:val="00076FF6"/>
    <w:rsid w:val="00083595"/>
    <w:rsid w:val="000900EA"/>
    <w:rsid w:val="00095E11"/>
    <w:rsid w:val="000A499D"/>
    <w:rsid w:val="000A54A6"/>
    <w:rsid w:val="000A5EEC"/>
    <w:rsid w:val="000A77C0"/>
    <w:rsid w:val="000B4B03"/>
    <w:rsid w:val="000B5746"/>
    <w:rsid w:val="000C6316"/>
    <w:rsid w:val="000C79E1"/>
    <w:rsid w:val="000D50F7"/>
    <w:rsid w:val="000D59B9"/>
    <w:rsid w:val="000E08BC"/>
    <w:rsid w:val="000E10E6"/>
    <w:rsid w:val="000E2EB5"/>
    <w:rsid w:val="000F0983"/>
    <w:rsid w:val="00101203"/>
    <w:rsid w:val="00111496"/>
    <w:rsid w:val="00111939"/>
    <w:rsid w:val="00115D6C"/>
    <w:rsid w:val="00136398"/>
    <w:rsid w:val="001411FD"/>
    <w:rsid w:val="001614C7"/>
    <w:rsid w:val="00164D6E"/>
    <w:rsid w:val="0016545A"/>
    <w:rsid w:val="00172555"/>
    <w:rsid w:val="001733FB"/>
    <w:rsid w:val="001764C0"/>
    <w:rsid w:val="001767E8"/>
    <w:rsid w:val="001953BA"/>
    <w:rsid w:val="0019575B"/>
    <w:rsid w:val="0019581C"/>
    <w:rsid w:val="001A39A8"/>
    <w:rsid w:val="001D17E5"/>
    <w:rsid w:val="001F119A"/>
    <w:rsid w:val="001F439C"/>
    <w:rsid w:val="001F5F79"/>
    <w:rsid w:val="00207A5D"/>
    <w:rsid w:val="002112C5"/>
    <w:rsid w:val="002158DF"/>
    <w:rsid w:val="002177E1"/>
    <w:rsid w:val="002236FF"/>
    <w:rsid w:val="00224AF1"/>
    <w:rsid w:val="002260C2"/>
    <w:rsid w:val="00226FB7"/>
    <w:rsid w:val="00232EFA"/>
    <w:rsid w:val="00237690"/>
    <w:rsid w:val="00246425"/>
    <w:rsid w:val="0025288A"/>
    <w:rsid w:val="00254AD1"/>
    <w:rsid w:val="002568F1"/>
    <w:rsid w:val="002630AF"/>
    <w:rsid w:val="002639B5"/>
    <w:rsid w:val="0026775A"/>
    <w:rsid w:val="00276503"/>
    <w:rsid w:val="00286162"/>
    <w:rsid w:val="002959EA"/>
    <w:rsid w:val="002A2A12"/>
    <w:rsid w:val="002B16F2"/>
    <w:rsid w:val="002B3664"/>
    <w:rsid w:val="002B3ECE"/>
    <w:rsid w:val="002B3F01"/>
    <w:rsid w:val="002C0304"/>
    <w:rsid w:val="002C24F3"/>
    <w:rsid w:val="002C552C"/>
    <w:rsid w:val="002C6E01"/>
    <w:rsid w:val="002D7296"/>
    <w:rsid w:val="002E2F50"/>
    <w:rsid w:val="002F3800"/>
    <w:rsid w:val="00302CEB"/>
    <w:rsid w:val="003077AC"/>
    <w:rsid w:val="0031297C"/>
    <w:rsid w:val="00325B8A"/>
    <w:rsid w:val="00327B12"/>
    <w:rsid w:val="00344EC9"/>
    <w:rsid w:val="003505F3"/>
    <w:rsid w:val="00351733"/>
    <w:rsid w:val="00361253"/>
    <w:rsid w:val="003639A9"/>
    <w:rsid w:val="00371128"/>
    <w:rsid w:val="0037694A"/>
    <w:rsid w:val="0038678C"/>
    <w:rsid w:val="00387AC8"/>
    <w:rsid w:val="003A0E1C"/>
    <w:rsid w:val="003A6B54"/>
    <w:rsid w:val="003B056D"/>
    <w:rsid w:val="003B1761"/>
    <w:rsid w:val="003B40D2"/>
    <w:rsid w:val="003B6AB1"/>
    <w:rsid w:val="003C2457"/>
    <w:rsid w:val="003C3BDB"/>
    <w:rsid w:val="003D3492"/>
    <w:rsid w:val="003E0656"/>
    <w:rsid w:val="003E09C9"/>
    <w:rsid w:val="003E2CD1"/>
    <w:rsid w:val="003F47D8"/>
    <w:rsid w:val="003F72C7"/>
    <w:rsid w:val="00407A11"/>
    <w:rsid w:val="00415622"/>
    <w:rsid w:val="004300D9"/>
    <w:rsid w:val="00430B6C"/>
    <w:rsid w:val="00436657"/>
    <w:rsid w:val="0044067D"/>
    <w:rsid w:val="00443405"/>
    <w:rsid w:val="00445F1D"/>
    <w:rsid w:val="00456816"/>
    <w:rsid w:val="004666A6"/>
    <w:rsid w:val="00466B60"/>
    <w:rsid w:val="00467DBE"/>
    <w:rsid w:val="00467DE7"/>
    <w:rsid w:val="004965D8"/>
    <w:rsid w:val="004A2F16"/>
    <w:rsid w:val="004A3A15"/>
    <w:rsid w:val="004A6E8D"/>
    <w:rsid w:val="004B12B9"/>
    <w:rsid w:val="004B2405"/>
    <w:rsid w:val="004B3A4D"/>
    <w:rsid w:val="004B7BEB"/>
    <w:rsid w:val="004C0187"/>
    <w:rsid w:val="004C2989"/>
    <w:rsid w:val="004C7FD5"/>
    <w:rsid w:val="004D2248"/>
    <w:rsid w:val="004E1DFA"/>
    <w:rsid w:val="004E25B0"/>
    <w:rsid w:val="004E50AC"/>
    <w:rsid w:val="004F0266"/>
    <w:rsid w:val="005078A9"/>
    <w:rsid w:val="005153AA"/>
    <w:rsid w:val="00515D2D"/>
    <w:rsid w:val="00523C4B"/>
    <w:rsid w:val="00525301"/>
    <w:rsid w:val="00526206"/>
    <w:rsid w:val="005271EE"/>
    <w:rsid w:val="00532EC5"/>
    <w:rsid w:val="00535F92"/>
    <w:rsid w:val="00540ED1"/>
    <w:rsid w:val="005420EB"/>
    <w:rsid w:val="00543387"/>
    <w:rsid w:val="00550F86"/>
    <w:rsid w:val="00553D4A"/>
    <w:rsid w:val="00560262"/>
    <w:rsid w:val="00561DA0"/>
    <w:rsid w:val="00575B48"/>
    <w:rsid w:val="00580054"/>
    <w:rsid w:val="00587D29"/>
    <w:rsid w:val="00590C92"/>
    <w:rsid w:val="0059127B"/>
    <w:rsid w:val="005A000B"/>
    <w:rsid w:val="005A3648"/>
    <w:rsid w:val="005A50F4"/>
    <w:rsid w:val="005B54E3"/>
    <w:rsid w:val="005B56DA"/>
    <w:rsid w:val="005C3C76"/>
    <w:rsid w:val="005D3411"/>
    <w:rsid w:val="005D3D89"/>
    <w:rsid w:val="005D590C"/>
    <w:rsid w:val="005F3E73"/>
    <w:rsid w:val="005F4548"/>
    <w:rsid w:val="0060275F"/>
    <w:rsid w:val="00606F92"/>
    <w:rsid w:val="00614640"/>
    <w:rsid w:val="00615633"/>
    <w:rsid w:val="00622354"/>
    <w:rsid w:val="006223A4"/>
    <w:rsid w:val="00624F62"/>
    <w:rsid w:val="00625913"/>
    <w:rsid w:val="00631755"/>
    <w:rsid w:val="00632C62"/>
    <w:rsid w:val="00637514"/>
    <w:rsid w:val="006401FA"/>
    <w:rsid w:val="00644976"/>
    <w:rsid w:val="00647665"/>
    <w:rsid w:val="0065322C"/>
    <w:rsid w:val="00694389"/>
    <w:rsid w:val="00694842"/>
    <w:rsid w:val="006B5809"/>
    <w:rsid w:val="006C6B4D"/>
    <w:rsid w:val="006E5EF3"/>
    <w:rsid w:val="006E77E5"/>
    <w:rsid w:val="006F0FF2"/>
    <w:rsid w:val="007005CC"/>
    <w:rsid w:val="007063E1"/>
    <w:rsid w:val="00713765"/>
    <w:rsid w:val="00713CA2"/>
    <w:rsid w:val="00714C9E"/>
    <w:rsid w:val="007166C8"/>
    <w:rsid w:val="00722D5A"/>
    <w:rsid w:val="00724140"/>
    <w:rsid w:val="007271F2"/>
    <w:rsid w:val="00731CD4"/>
    <w:rsid w:val="00732684"/>
    <w:rsid w:val="00734806"/>
    <w:rsid w:val="007427E8"/>
    <w:rsid w:val="00744FCA"/>
    <w:rsid w:val="007462C3"/>
    <w:rsid w:val="007523E6"/>
    <w:rsid w:val="00752FAB"/>
    <w:rsid w:val="007549C5"/>
    <w:rsid w:val="00755E35"/>
    <w:rsid w:val="00762F7B"/>
    <w:rsid w:val="0076463F"/>
    <w:rsid w:val="0077071B"/>
    <w:rsid w:val="007773EC"/>
    <w:rsid w:val="007806A9"/>
    <w:rsid w:val="00783E27"/>
    <w:rsid w:val="00787453"/>
    <w:rsid w:val="00792C29"/>
    <w:rsid w:val="007A39A3"/>
    <w:rsid w:val="007C0ED1"/>
    <w:rsid w:val="007C1CA4"/>
    <w:rsid w:val="007C7F43"/>
    <w:rsid w:val="007D116D"/>
    <w:rsid w:val="007D1CC8"/>
    <w:rsid w:val="007E03EE"/>
    <w:rsid w:val="007F3824"/>
    <w:rsid w:val="007F39BC"/>
    <w:rsid w:val="007F442E"/>
    <w:rsid w:val="007F7424"/>
    <w:rsid w:val="0080007E"/>
    <w:rsid w:val="00800BB3"/>
    <w:rsid w:val="00814B63"/>
    <w:rsid w:val="00820B00"/>
    <w:rsid w:val="008252D1"/>
    <w:rsid w:val="00831E29"/>
    <w:rsid w:val="00833FE3"/>
    <w:rsid w:val="00836F7F"/>
    <w:rsid w:val="00837F4A"/>
    <w:rsid w:val="00854160"/>
    <w:rsid w:val="00855185"/>
    <w:rsid w:val="00864548"/>
    <w:rsid w:val="00877C02"/>
    <w:rsid w:val="00877E32"/>
    <w:rsid w:val="00882DA4"/>
    <w:rsid w:val="00882FE7"/>
    <w:rsid w:val="00893C9F"/>
    <w:rsid w:val="0089548F"/>
    <w:rsid w:val="00897FDE"/>
    <w:rsid w:val="008A5FCC"/>
    <w:rsid w:val="008B237A"/>
    <w:rsid w:val="008B5D3C"/>
    <w:rsid w:val="008B78B7"/>
    <w:rsid w:val="008C3D40"/>
    <w:rsid w:val="008C7495"/>
    <w:rsid w:val="008D1A59"/>
    <w:rsid w:val="008D56AF"/>
    <w:rsid w:val="008D5B79"/>
    <w:rsid w:val="008D601F"/>
    <w:rsid w:val="008E22DC"/>
    <w:rsid w:val="008E4760"/>
    <w:rsid w:val="00900EE0"/>
    <w:rsid w:val="00901117"/>
    <w:rsid w:val="00906254"/>
    <w:rsid w:val="00916A8B"/>
    <w:rsid w:val="00920141"/>
    <w:rsid w:val="0092017D"/>
    <w:rsid w:val="00922E8F"/>
    <w:rsid w:val="00937E17"/>
    <w:rsid w:val="009503D5"/>
    <w:rsid w:val="00951508"/>
    <w:rsid w:val="009554BE"/>
    <w:rsid w:val="00960BF2"/>
    <w:rsid w:val="00961304"/>
    <w:rsid w:val="00965F33"/>
    <w:rsid w:val="0096624E"/>
    <w:rsid w:val="00985F91"/>
    <w:rsid w:val="00987228"/>
    <w:rsid w:val="009922E7"/>
    <w:rsid w:val="009A41A4"/>
    <w:rsid w:val="009A4490"/>
    <w:rsid w:val="009A4CFB"/>
    <w:rsid w:val="009A763B"/>
    <w:rsid w:val="009B31B9"/>
    <w:rsid w:val="009D1589"/>
    <w:rsid w:val="009D1EB7"/>
    <w:rsid w:val="009D3908"/>
    <w:rsid w:val="009D5466"/>
    <w:rsid w:val="009E1B51"/>
    <w:rsid w:val="009E4AC9"/>
    <w:rsid w:val="009F401F"/>
    <w:rsid w:val="009F78DA"/>
    <w:rsid w:val="00A01FBF"/>
    <w:rsid w:val="00A0592C"/>
    <w:rsid w:val="00A114CC"/>
    <w:rsid w:val="00A22609"/>
    <w:rsid w:val="00A22A8E"/>
    <w:rsid w:val="00A2335F"/>
    <w:rsid w:val="00A23567"/>
    <w:rsid w:val="00A24D39"/>
    <w:rsid w:val="00A31E44"/>
    <w:rsid w:val="00A3385A"/>
    <w:rsid w:val="00A46A60"/>
    <w:rsid w:val="00A46E93"/>
    <w:rsid w:val="00A536DF"/>
    <w:rsid w:val="00A6330A"/>
    <w:rsid w:val="00A711F5"/>
    <w:rsid w:val="00A716E8"/>
    <w:rsid w:val="00A74CA8"/>
    <w:rsid w:val="00A74F8F"/>
    <w:rsid w:val="00A8260C"/>
    <w:rsid w:val="00A842C9"/>
    <w:rsid w:val="00A86269"/>
    <w:rsid w:val="00A865C8"/>
    <w:rsid w:val="00A9259A"/>
    <w:rsid w:val="00A93B6F"/>
    <w:rsid w:val="00A9656B"/>
    <w:rsid w:val="00AA1385"/>
    <w:rsid w:val="00AA1CF7"/>
    <w:rsid w:val="00AA43FA"/>
    <w:rsid w:val="00AB04D5"/>
    <w:rsid w:val="00AC0C41"/>
    <w:rsid w:val="00AC5857"/>
    <w:rsid w:val="00AD180E"/>
    <w:rsid w:val="00AD2F64"/>
    <w:rsid w:val="00AD50C8"/>
    <w:rsid w:val="00AE13F2"/>
    <w:rsid w:val="00AE2C29"/>
    <w:rsid w:val="00AE37D5"/>
    <w:rsid w:val="00AF68CA"/>
    <w:rsid w:val="00AF7D5C"/>
    <w:rsid w:val="00B05549"/>
    <w:rsid w:val="00B0559C"/>
    <w:rsid w:val="00B066E9"/>
    <w:rsid w:val="00B11252"/>
    <w:rsid w:val="00B14859"/>
    <w:rsid w:val="00B17A17"/>
    <w:rsid w:val="00B2120F"/>
    <w:rsid w:val="00B3106C"/>
    <w:rsid w:val="00B3122C"/>
    <w:rsid w:val="00B351FE"/>
    <w:rsid w:val="00B41C19"/>
    <w:rsid w:val="00B420C1"/>
    <w:rsid w:val="00B42306"/>
    <w:rsid w:val="00B47A38"/>
    <w:rsid w:val="00B56C98"/>
    <w:rsid w:val="00B61CAE"/>
    <w:rsid w:val="00B61D01"/>
    <w:rsid w:val="00B75562"/>
    <w:rsid w:val="00B91A6E"/>
    <w:rsid w:val="00B929F1"/>
    <w:rsid w:val="00B96BE1"/>
    <w:rsid w:val="00BA4A83"/>
    <w:rsid w:val="00BA4B3D"/>
    <w:rsid w:val="00BA52D5"/>
    <w:rsid w:val="00BB041E"/>
    <w:rsid w:val="00BB4CC3"/>
    <w:rsid w:val="00BC0289"/>
    <w:rsid w:val="00BD0971"/>
    <w:rsid w:val="00BD6249"/>
    <w:rsid w:val="00BD7F5C"/>
    <w:rsid w:val="00BE14FC"/>
    <w:rsid w:val="00BE5AB8"/>
    <w:rsid w:val="00BF382E"/>
    <w:rsid w:val="00C063C1"/>
    <w:rsid w:val="00C07B31"/>
    <w:rsid w:val="00C268ED"/>
    <w:rsid w:val="00C30E2F"/>
    <w:rsid w:val="00C35E33"/>
    <w:rsid w:val="00C40F08"/>
    <w:rsid w:val="00C60478"/>
    <w:rsid w:val="00C7109D"/>
    <w:rsid w:val="00C82254"/>
    <w:rsid w:val="00C83CAB"/>
    <w:rsid w:val="00C854C9"/>
    <w:rsid w:val="00C96299"/>
    <w:rsid w:val="00CA48B4"/>
    <w:rsid w:val="00CA6124"/>
    <w:rsid w:val="00CB6CEF"/>
    <w:rsid w:val="00CC13CB"/>
    <w:rsid w:val="00CC55B6"/>
    <w:rsid w:val="00CC70D7"/>
    <w:rsid w:val="00CF641F"/>
    <w:rsid w:val="00CF6542"/>
    <w:rsid w:val="00D054C8"/>
    <w:rsid w:val="00D24432"/>
    <w:rsid w:val="00D25A28"/>
    <w:rsid w:val="00D272EA"/>
    <w:rsid w:val="00D3265E"/>
    <w:rsid w:val="00D3663A"/>
    <w:rsid w:val="00D50BAA"/>
    <w:rsid w:val="00D562C2"/>
    <w:rsid w:val="00D746B6"/>
    <w:rsid w:val="00D775A0"/>
    <w:rsid w:val="00D81F08"/>
    <w:rsid w:val="00D87804"/>
    <w:rsid w:val="00D91C90"/>
    <w:rsid w:val="00D927FF"/>
    <w:rsid w:val="00D954CB"/>
    <w:rsid w:val="00D954D9"/>
    <w:rsid w:val="00D95C92"/>
    <w:rsid w:val="00D972F3"/>
    <w:rsid w:val="00DA2D06"/>
    <w:rsid w:val="00DB4EA1"/>
    <w:rsid w:val="00DB5C0A"/>
    <w:rsid w:val="00DC00F8"/>
    <w:rsid w:val="00DC2A0A"/>
    <w:rsid w:val="00DD0005"/>
    <w:rsid w:val="00DD1A6A"/>
    <w:rsid w:val="00DD1FD9"/>
    <w:rsid w:val="00DD55D7"/>
    <w:rsid w:val="00DE18A5"/>
    <w:rsid w:val="00DE5D7A"/>
    <w:rsid w:val="00DF2768"/>
    <w:rsid w:val="00DF37A2"/>
    <w:rsid w:val="00E02E77"/>
    <w:rsid w:val="00E16841"/>
    <w:rsid w:val="00E227A5"/>
    <w:rsid w:val="00E24E4D"/>
    <w:rsid w:val="00E52BE6"/>
    <w:rsid w:val="00E57FDD"/>
    <w:rsid w:val="00E60069"/>
    <w:rsid w:val="00E610E4"/>
    <w:rsid w:val="00E71C5D"/>
    <w:rsid w:val="00E75F40"/>
    <w:rsid w:val="00E76A20"/>
    <w:rsid w:val="00EB697C"/>
    <w:rsid w:val="00EC08BE"/>
    <w:rsid w:val="00EC2B3E"/>
    <w:rsid w:val="00EC577B"/>
    <w:rsid w:val="00ED4AAD"/>
    <w:rsid w:val="00EE196F"/>
    <w:rsid w:val="00EE75E4"/>
    <w:rsid w:val="00EF3187"/>
    <w:rsid w:val="00EF5603"/>
    <w:rsid w:val="00F210CD"/>
    <w:rsid w:val="00F3670A"/>
    <w:rsid w:val="00F40754"/>
    <w:rsid w:val="00F43A71"/>
    <w:rsid w:val="00F43B41"/>
    <w:rsid w:val="00F51C6B"/>
    <w:rsid w:val="00F65266"/>
    <w:rsid w:val="00F67298"/>
    <w:rsid w:val="00F74C53"/>
    <w:rsid w:val="00F80423"/>
    <w:rsid w:val="00F8525D"/>
    <w:rsid w:val="00F86AF6"/>
    <w:rsid w:val="00F91C12"/>
    <w:rsid w:val="00F942BC"/>
    <w:rsid w:val="00F961A3"/>
    <w:rsid w:val="00FC4C11"/>
    <w:rsid w:val="00FC7C81"/>
    <w:rsid w:val="00FD3F08"/>
    <w:rsid w:val="00FD6D4E"/>
    <w:rsid w:val="00FD7960"/>
    <w:rsid w:val="00FE3056"/>
    <w:rsid w:val="00FE6D30"/>
    <w:rsid w:val="00FF3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9A486"/>
  <w15:chartTrackingRefBased/>
  <w15:docId w15:val="{7A14A2B2-5F31-4D17-A8B8-A4E19E26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D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1D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D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1D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87A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C55B6"/>
    <w:rPr>
      <w:sz w:val="16"/>
      <w:szCs w:val="16"/>
    </w:rPr>
  </w:style>
  <w:style w:type="paragraph" w:styleId="CommentText">
    <w:name w:val="annotation text"/>
    <w:basedOn w:val="Normal"/>
    <w:link w:val="CommentTextChar"/>
    <w:uiPriority w:val="99"/>
    <w:unhideWhenUsed/>
    <w:rsid w:val="00CC55B6"/>
    <w:pPr>
      <w:spacing w:line="240" w:lineRule="auto"/>
    </w:pPr>
    <w:rPr>
      <w:sz w:val="20"/>
      <w:szCs w:val="20"/>
    </w:rPr>
  </w:style>
  <w:style w:type="character" w:customStyle="1" w:styleId="CommentTextChar">
    <w:name w:val="Comment Text Char"/>
    <w:basedOn w:val="DefaultParagraphFont"/>
    <w:link w:val="CommentText"/>
    <w:uiPriority w:val="99"/>
    <w:rsid w:val="00CC55B6"/>
    <w:rPr>
      <w:sz w:val="20"/>
      <w:szCs w:val="20"/>
    </w:rPr>
  </w:style>
  <w:style w:type="paragraph" w:styleId="CommentSubject">
    <w:name w:val="annotation subject"/>
    <w:basedOn w:val="CommentText"/>
    <w:next w:val="CommentText"/>
    <w:link w:val="CommentSubjectChar"/>
    <w:uiPriority w:val="99"/>
    <w:semiHidden/>
    <w:unhideWhenUsed/>
    <w:rsid w:val="00CC55B6"/>
    <w:rPr>
      <w:b/>
      <w:bCs/>
    </w:rPr>
  </w:style>
  <w:style w:type="character" w:customStyle="1" w:styleId="CommentSubjectChar">
    <w:name w:val="Comment Subject Char"/>
    <w:basedOn w:val="CommentTextChar"/>
    <w:link w:val="CommentSubject"/>
    <w:uiPriority w:val="99"/>
    <w:semiHidden/>
    <w:rsid w:val="00CC55B6"/>
    <w:rPr>
      <w:b/>
      <w:bCs/>
      <w:sz w:val="20"/>
      <w:szCs w:val="20"/>
    </w:rPr>
  </w:style>
  <w:style w:type="paragraph" w:styleId="BalloonText">
    <w:name w:val="Balloon Text"/>
    <w:basedOn w:val="Normal"/>
    <w:link w:val="BalloonTextChar"/>
    <w:uiPriority w:val="99"/>
    <w:semiHidden/>
    <w:unhideWhenUsed/>
    <w:rsid w:val="00CC5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B6"/>
    <w:rPr>
      <w:rFonts w:ascii="Segoe UI" w:hAnsi="Segoe UI" w:cs="Segoe UI"/>
      <w:sz w:val="18"/>
      <w:szCs w:val="18"/>
    </w:rPr>
  </w:style>
  <w:style w:type="paragraph" w:styleId="ListParagraph">
    <w:name w:val="List Paragraph"/>
    <w:basedOn w:val="Normal"/>
    <w:uiPriority w:val="34"/>
    <w:qFormat/>
    <w:rsid w:val="00286162"/>
    <w:pPr>
      <w:ind w:left="720"/>
      <w:contextualSpacing/>
    </w:pPr>
  </w:style>
  <w:style w:type="paragraph" w:styleId="FootnoteText">
    <w:name w:val="footnote text"/>
    <w:basedOn w:val="Normal"/>
    <w:link w:val="FootnoteTextChar"/>
    <w:uiPriority w:val="99"/>
    <w:semiHidden/>
    <w:unhideWhenUsed/>
    <w:rsid w:val="00D50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BAA"/>
    <w:rPr>
      <w:sz w:val="20"/>
      <w:szCs w:val="20"/>
    </w:rPr>
  </w:style>
  <w:style w:type="character" w:styleId="FootnoteReference">
    <w:name w:val="footnote reference"/>
    <w:basedOn w:val="DefaultParagraphFont"/>
    <w:uiPriority w:val="99"/>
    <w:semiHidden/>
    <w:unhideWhenUsed/>
    <w:rsid w:val="00D50BAA"/>
    <w:rPr>
      <w:vertAlign w:val="superscript"/>
    </w:rPr>
  </w:style>
  <w:style w:type="paragraph" w:styleId="Header">
    <w:name w:val="header"/>
    <w:basedOn w:val="Normal"/>
    <w:link w:val="HeaderChar"/>
    <w:uiPriority w:val="99"/>
    <w:unhideWhenUsed/>
    <w:rsid w:val="00550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86"/>
  </w:style>
  <w:style w:type="paragraph" w:styleId="Footer">
    <w:name w:val="footer"/>
    <w:basedOn w:val="Normal"/>
    <w:link w:val="FooterChar"/>
    <w:uiPriority w:val="99"/>
    <w:unhideWhenUsed/>
    <w:rsid w:val="00550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F86"/>
  </w:style>
  <w:style w:type="table" w:styleId="TableGrid">
    <w:name w:val="Table Grid"/>
    <w:basedOn w:val="TableNormal"/>
    <w:uiPriority w:val="39"/>
    <w:rsid w:val="0055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C29"/>
    <w:pPr>
      <w:spacing w:after="0" w:line="240" w:lineRule="auto"/>
    </w:pPr>
  </w:style>
  <w:style w:type="character" w:styleId="Hyperlink">
    <w:name w:val="Hyperlink"/>
    <w:basedOn w:val="DefaultParagraphFont"/>
    <w:uiPriority w:val="99"/>
    <w:unhideWhenUsed/>
    <w:rsid w:val="00C7109D"/>
    <w:rPr>
      <w:color w:val="0563C1" w:themeColor="hyperlink"/>
      <w:u w:val="single"/>
    </w:rPr>
  </w:style>
  <w:style w:type="character" w:styleId="FollowedHyperlink">
    <w:name w:val="FollowedHyperlink"/>
    <w:basedOn w:val="DefaultParagraphFont"/>
    <w:uiPriority w:val="99"/>
    <w:semiHidden/>
    <w:unhideWhenUsed/>
    <w:rsid w:val="00F8525D"/>
    <w:rPr>
      <w:color w:val="954F72" w:themeColor="followedHyperlink"/>
      <w:u w:val="single"/>
    </w:rPr>
  </w:style>
  <w:style w:type="character" w:styleId="UnresolvedMention">
    <w:name w:val="Unresolved Mention"/>
    <w:basedOn w:val="DefaultParagraphFont"/>
    <w:uiPriority w:val="99"/>
    <w:semiHidden/>
    <w:unhideWhenUsed/>
    <w:rsid w:val="00F85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6855">
      <w:bodyDiv w:val="1"/>
      <w:marLeft w:val="0"/>
      <w:marRight w:val="0"/>
      <w:marTop w:val="0"/>
      <w:marBottom w:val="0"/>
      <w:divBdr>
        <w:top w:val="none" w:sz="0" w:space="0" w:color="auto"/>
        <w:left w:val="none" w:sz="0" w:space="0" w:color="auto"/>
        <w:bottom w:val="none" w:sz="0" w:space="0" w:color="auto"/>
        <w:right w:val="none" w:sz="0" w:space="0" w:color="auto"/>
      </w:divBdr>
    </w:div>
    <w:div w:id="12074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rrey.ac.uk/institute-sustainability/sustainable-development-goa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ACB8-25C6-4F3F-AB0B-C82F19838C7B}">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1316</TotalTime>
  <Pages>6</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Parrott</dc:creator>
  <cp:keywords/>
  <dc:description/>
  <cp:lastModifiedBy>Wiles, Martin (EFCS Utility &amp; Sust)</cp:lastModifiedBy>
  <cp:revision>48</cp:revision>
  <cp:lastPrinted>2021-09-14T09:07:00Z</cp:lastPrinted>
  <dcterms:created xsi:type="dcterms:W3CDTF">2023-11-06T10:27:00Z</dcterms:created>
  <dcterms:modified xsi:type="dcterms:W3CDTF">2023-11-07T14:10:00Z</dcterms:modified>
</cp:coreProperties>
</file>