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25F4" w14:textId="479805D8" w:rsidR="00A8074A" w:rsidRDefault="009C0E80">
      <w:r>
        <w:t xml:space="preserve">Uni of Surrey Flexible Framework Position Statement </w:t>
      </w:r>
    </w:p>
    <w:p w14:paraId="3AF1145A" w14:textId="77777777" w:rsidR="009C0E80" w:rsidRDefault="009C0E80"/>
    <w:p w14:paraId="0AD6D334" w14:textId="01282099" w:rsidR="009C0E80" w:rsidRDefault="009C0E80">
      <w:r>
        <w:t xml:space="preserve">The University of Surrey Sustainability and Procurement teams have been measuring their progress in sustainable procurement using the government’s Flexible Framework. The University has expanded the Flexible Framework from five to ten stages </w:t>
      </w:r>
      <w:proofErr w:type="gramStart"/>
      <w:r>
        <w:t>in order to</w:t>
      </w:r>
      <w:proofErr w:type="gramEnd"/>
      <w:r>
        <w:t xml:space="preserve"> clarify actions and expedite delivery. </w:t>
      </w:r>
      <w:r w:rsidR="0051594B">
        <w:t xml:space="preserve">So </w:t>
      </w:r>
      <w:proofErr w:type="gramStart"/>
      <w:r w:rsidR="0051594B">
        <w:t>far</w:t>
      </w:r>
      <w:proofErr w:type="gramEnd"/>
      <w:r w:rsidR="0051594B">
        <w:t xml:space="preserve"> the sustainability and procurement teams have completed a number of actions including, crucially, the creation of a sustainable procurement plan, the selection and delivery of training in sustainable procurement, and the advanced filtering and classification of suppliers. </w:t>
      </w:r>
      <w:r>
        <w:t>The framework is pictured below:</w:t>
      </w:r>
    </w:p>
    <w:p w14:paraId="30F0FC91" w14:textId="7FD4A73D" w:rsidR="000C6189" w:rsidRDefault="000C6189">
      <w:r>
        <w:t xml:space="preserve">Black </w:t>
      </w:r>
      <w:r w:rsidR="007547C7">
        <w:t>squares</w:t>
      </w:r>
      <w:r>
        <w:t xml:space="preserve"> indicate the current level to which we have progressed. Red </w:t>
      </w:r>
      <w:r w:rsidR="007547C7">
        <w:t>squares</w:t>
      </w:r>
      <w:r>
        <w:t xml:space="preserve"> indicate where we will be once we have completed key actions laid out below.</w:t>
      </w:r>
    </w:p>
    <w:p w14:paraId="7955F401" w14:textId="77777777" w:rsidR="000C6189" w:rsidRDefault="000C6189"/>
    <w:p w14:paraId="27509875" w14:textId="7923CD6E" w:rsidR="000C6189" w:rsidRDefault="000C6189"/>
    <w:tbl>
      <w:tblPr>
        <w:tblStyle w:val="TableGrid"/>
        <w:tblW w:w="0" w:type="auto"/>
        <w:tblLook w:val="04A0" w:firstRow="1" w:lastRow="0" w:firstColumn="1" w:lastColumn="0" w:noHBand="0" w:noVBand="1"/>
      </w:tblPr>
      <w:tblGrid>
        <w:gridCol w:w="1603"/>
        <w:gridCol w:w="1310"/>
        <w:gridCol w:w="1189"/>
        <w:gridCol w:w="1206"/>
        <w:gridCol w:w="1310"/>
        <w:gridCol w:w="1174"/>
        <w:gridCol w:w="1150"/>
        <w:gridCol w:w="1222"/>
        <w:gridCol w:w="1310"/>
        <w:gridCol w:w="1310"/>
        <w:gridCol w:w="1164"/>
      </w:tblGrid>
      <w:tr w:rsidR="009C0E80" w14:paraId="4CFBF704" w14:textId="77777777" w:rsidTr="00BF3250">
        <w:tc>
          <w:tcPr>
            <w:tcW w:w="1584" w:type="dxa"/>
            <w:shd w:val="clear" w:color="auto" w:fill="0F4761" w:themeFill="accent1" w:themeFillShade="BF"/>
          </w:tcPr>
          <w:p w14:paraId="185120A8" w14:textId="77777777" w:rsidR="009C0E80" w:rsidRPr="007E5723" w:rsidRDefault="009C0E80" w:rsidP="00BF3250">
            <w:pPr>
              <w:rPr>
                <w:color w:val="FFFFFF" w:themeColor="background1"/>
              </w:rPr>
            </w:pPr>
          </w:p>
        </w:tc>
        <w:tc>
          <w:tcPr>
            <w:tcW w:w="1301" w:type="dxa"/>
            <w:shd w:val="clear" w:color="auto" w:fill="0F4761" w:themeFill="accent1" w:themeFillShade="BF"/>
          </w:tcPr>
          <w:p w14:paraId="7B5E8FB7" w14:textId="77777777" w:rsidR="009C0E80" w:rsidRPr="000374DE" w:rsidRDefault="009C0E80" w:rsidP="00BF3250">
            <w:pPr>
              <w:rPr>
                <w:b/>
                <w:bCs/>
                <w:color w:val="FFFFFF" w:themeColor="background1"/>
              </w:rPr>
            </w:pPr>
            <w:r w:rsidRPr="000374DE">
              <w:rPr>
                <w:b/>
                <w:bCs/>
                <w:color w:val="FFFFFF" w:themeColor="background1"/>
              </w:rPr>
              <w:t xml:space="preserve">Level 1 </w:t>
            </w:r>
          </w:p>
        </w:tc>
        <w:tc>
          <w:tcPr>
            <w:tcW w:w="1184" w:type="dxa"/>
            <w:shd w:val="clear" w:color="auto" w:fill="0F4761" w:themeFill="accent1" w:themeFillShade="BF"/>
          </w:tcPr>
          <w:p w14:paraId="75BC52A4" w14:textId="77777777" w:rsidR="009C0E80" w:rsidRPr="000374DE" w:rsidRDefault="009C0E80" w:rsidP="00BF3250">
            <w:pPr>
              <w:rPr>
                <w:b/>
                <w:bCs/>
                <w:color w:val="FFFFFF" w:themeColor="background1"/>
              </w:rPr>
            </w:pPr>
            <w:r w:rsidRPr="000374DE">
              <w:rPr>
                <w:b/>
                <w:bCs/>
                <w:color w:val="FFFFFF" w:themeColor="background1"/>
              </w:rPr>
              <w:t>Level 2</w:t>
            </w:r>
          </w:p>
        </w:tc>
        <w:tc>
          <w:tcPr>
            <w:tcW w:w="1220" w:type="dxa"/>
            <w:shd w:val="clear" w:color="auto" w:fill="0F4761" w:themeFill="accent1" w:themeFillShade="BF"/>
          </w:tcPr>
          <w:p w14:paraId="54BB64D3" w14:textId="77777777" w:rsidR="009C0E80" w:rsidRPr="000374DE" w:rsidRDefault="009C0E80" w:rsidP="00BF3250">
            <w:pPr>
              <w:rPr>
                <w:b/>
                <w:bCs/>
                <w:color w:val="FFFFFF" w:themeColor="background1"/>
              </w:rPr>
            </w:pPr>
            <w:r w:rsidRPr="000374DE">
              <w:rPr>
                <w:b/>
                <w:bCs/>
                <w:color w:val="FFFFFF" w:themeColor="background1"/>
              </w:rPr>
              <w:t xml:space="preserve">Level 3 </w:t>
            </w:r>
          </w:p>
        </w:tc>
        <w:tc>
          <w:tcPr>
            <w:tcW w:w="1301" w:type="dxa"/>
            <w:shd w:val="clear" w:color="auto" w:fill="0F4761" w:themeFill="accent1" w:themeFillShade="BF"/>
          </w:tcPr>
          <w:p w14:paraId="3417C73F" w14:textId="42123C82" w:rsidR="009C0E80" w:rsidRPr="000374DE" w:rsidRDefault="009C0E80" w:rsidP="00BF3250">
            <w:pPr>
              <w:rPr>
                <w:b/>
                <w:bCs/>
                <w:color w:val="FFFFFF" w:themeColor="background1"/>
              </w:rPr>
            </w:pPr>
            <w:r w:rsidRPr="000374DE">
              <w:rPr>
                <w:b/>
                <w:bCs/>
                <w:color w:val="FFFFFF" w:themeColor="background1"/>
              </w:rPr>
              <w:t xml:space="preserve">Level 4 </w:t>
            </w:r>
          </w:p>
        </w:tc>
        <w:tc>
          <w:tcPr>
            <w:tcW w:w="1173" w:type="dxa"/>
            <w:shd w:val="clear" w:color="auto" w:fill="0F4761" w:themeFill="accent1" w:themeFillShade="BF"/>
          </w:tcPr>
          <w:p w14:paraId="0F439880" w14:textId="77777777" w:rsidR="009C0E80" w:rsidRPr="000374DE" w:rsidRDefault="009C0E80" w:rsidP="00BF3250">
            <w:pPr>
              <w:rPr>
                <w:b/>
                <w:bCs/>
                <w:color w:val="FFFFFF" w:themeColor="background1"/>
              </w:rPr>
            </w:pPr>
            <w:r w:rsidRPr="000374DE">
              <w:rPr>
                <w:b/>
                <w:bCs/>
                <w:color w:val="FFFFFF" w:themeColor="background1"/>
              </w:rPr>
              <w:t xml:space="preserve">Level 5 </w:t>
            </w:r>
          </w:p>
        </w:tc>
        <w:tc>
          <w:tcPr>
            <w:tcW w:w="1169" w:type="dxa"/>
            <w:shd w:val="clear" w:color="auto" w:fill="0F4761" w:themeFill="accent1" w:themeFillShade="BF"/>
          </w:tcPr>
          <w:p w14:paraId="2F3E2D75" w14:textId="77777777" w:rsidR="009C0E80" w:rsidRPr="000374DE" w:rsidRDefault="009C0E80" w:rsidP="00BF3250">
            <w:pPr>
              <w:rPr>
                <w:b/>
                <w:bCs/>
                <w:color w:val="FFFFFF" w:themeColor="background1"/>
              </w:rPr>
            </w:pPr>
            <w:r w:rsidRPr="000374DE">
              <w:rPr>
                <w:b/>
                <w:bCs/>
                <w:color w:val="FFFFFF" w:themeColor="background1"/>
              </w:rPr>
              <w:t xml:space="preserve">Level 6 </w:t>
            </w:r>
          </w:p>
        </w:tc>
        <w:tc>
          <w:tcPr>
            <w:tcW w:w="1233" w:type="dxa"/>
            <w:shd w:val="clear" w:color="auto" w:fill="0F4761" w:themeFill="accent1" w:themeFillShade="BF"/>
          </w:tcPr>
          <w:p w14:paraId="7F62BBDD" w14:textId="77777777" w:rsidR="009C0E80" w:rsidRPr="000374DE" w:rsidRDefault="009C0E80" w:rsidP="00BF3250">
            <w:pPr>
              <w:rPr>
                <w:b/>
                <w:bCs/>
                <w:color w:val="FFFFFF" w:themeColor="background1"/>
              </w:rPr>
            </w:pPr>
            <w:r w:rsidRPr="000374DE">
              <w:rPr>
                <w:b/>
                <w:bCs/>
                <w:color w:val="FFFFFF" w:themeColor="background1"/>
              </w:rPr>
              <w:t xml:space="preserve">Level 7 </w:t>
            </w:r>
          </w:p>
        </w:tc>
        <w:tc>
          <w:tcPr>
            <w:tcW w:w="1301" w:type="dxa"/>
            <w:shd w:val="clear" w:color="auto" w:fill="0F4761" w:themeFill="accent1" w:themeFillShade="BF"/>
          </w:tcPr>
          <w:p w14:paraId="09CE0FBD" w14:textId="77777777" w:rsidR="009C0E80" w:rsidRPr="000374DE" w:rsidRDefault="009C0E80" w:rsidP="00BF3250">
            <w:pPr>
              <w:rPr>
                <w:b/>
                <w:bCs/>
                <w:color w:val="FFFFFF" w:themeColor="background1"/>
              </w:rPr>
            </w:pPr>
            <w:r w:rsidRPr="000374DE">
              <w:rPr>
                <w:b/>
                <w:bCs/>
                <w:color w:val="FFFFFF" w:themeColor="background1"/>
              </w:rPr>
              <w:t xml:space="preserve">Level 8 </w:t>
            </w:r>
          </w:p>
        </w:tc>
        <w:tc>
          <w:tcPr>
            <w:tcW w:w="1301" w:type="dxa"/>
            <w:shd w:val="clear" w:color="auto" w:fill="0F4761" w:themeFill="accent1" w:themeFillShade="BF"/>
          </w:tcPr>
          <w:p w14:paraId="413E8247" w14:textId="77777777" w:rsidR="009C0E80" w:rsidRPr="000374DE" w:rsidRDefault="009C0E80" w:rsidP="00BF3250">
            <w:pPr>
              <w:rPr>
                <w:b/>
                <w:bCs/>
                <w:color w:val="FFFFFF" w:themeColor="background1"/>
              </w:rPr>
            </w:pPr>
            <w:r w:rsidRPr="000374DE">
              <w:rPr>
                <w:b/>
                <w:bCs/>
                <w:color w:val="FFFFFF" w:themeColor="background1"/>
              </w:rPr>
              <w:t xml:space="preserve">Level 9 </w:t>
            </w:r>
          </w:p>
        </w:tc>
        <w:tc>
          <w:tcPr>
            <w:tcW w:w="1181" w:type="dxa"/>
            <w:shd w:val="clear" w:color="auto" w:fill="0F4761" w:themeFill="accent1" w:themeFillShade="BF"/>
          </w:tcPr>
          <w:p w14:paraId="1618B59D" w14:textId="77777777" w:rsidR="009C0E80" w:rsidRPr="000374DE" w:rsidRDefault="009C0E80" w:rsidP="00BF3250">
            <w:pPr>
              <w:rPr>
                <w:b/>
                <w:bCs/>
                <w:color w:val="FFFFFF" w:themeColor="background1"/>
              </w:rPr>
            </w:pPr>
            <w:r w:rsidRPr="000374DE">
              <w:rPr>
                <w:b/>
                <w:bCs/>
                <w:color w:val="FFFFFF" w:themeColor="background1"/>
              </w:rPr>
              <w:t xml:space="preserve">Level 10 </w:t>
            </w:r>
          </w:p>
        </w:tc>
      </w:tr>
      <w:tr w:rsidR="009C0E80" w14:paraId="4EF8D695" w14:textId="77777777" w:rsidTr="007547C7">
        <w:tc>
          <w:tcPr>
            <w:tcW w:w="1584" w:type="dxa"/>
            <w:shd w:val="clear" w:color="auto" w:fill="0F4761" w:themeFill="accent1" w:themeFillShade="BF"/>
          </w:tcPr>
          <w:p w14:paraId="79402A05" w14:textId="77777777" w:rsidR="009C0E80" w:rsidRPr="000374DE" w:rsidRDefault="009C0E80" w:rsidP="00BF3250">
            <w:pPr>
              <w:rPr>
                <w:b/>
                <w:bCs/>
                <w:color w:val="FFFFFF" w:themeColor="background1"/>
              </w:rPr>
            </w:pPr>
            <w:r w:rsidRPr="000374DE">
              <w:rPr>
                <w:b/>
                <w:bCs/>
                <w:color w:val="FFFFFF" w:themeColor="background1"/>
              </w:rPr>
              <w:t xml:space="preserve">People </w:t>
            </w:r>
          </w:p>
        </w:tc>
        <w:tc>
          <w:tcPr>
            <w:tcW w:w="1301" w:type="dxa"/>
            <w:shd w:val="clear" w:color="auto" w:fill="DAE9F7" w:themeFill="text2" w:themeFillTint="1A"/>
          </w:tcPr>
          <w:p w14:paraId="2D98EC4A" w14:textId="77777777" w:rsidR="009C0E80" w:rsidRPr="006B4B53" w:rsidRDefault="009C0E80" w:rsidP="00BF3250">
            <w:pPr>
              <w:rPr>
                <w:sz w:val="18"/>
                <w:szCs w:val="18"/>
              </w:rPr>
            </w:pPr>
            <w:r w:rsidRPr="006B4B53">
              <w:rPr>
                <w:sz w:val="18"/>
                <w:szCs w:val="18"/>
              </w:rPr>
              <w:t>Sustainable Procurement Champion identified</w:t>
            </w:r>
          </w:p>
        </w:tc>
        <w:tc>
          <w:tcPr>
            <w:tcW w:w="1184" w:type="dxa"/>
            <w:shd w:val="clear" w:color="auto" w:fill="DAE9F7" w:themeFill="text2" w:themeFillTint="1A"/>
          </w:tcPr>
          <w:p w14:paraId="5EADB111" w14:textId="77777777" w:rsidR="009C0E80" w:rsidRPr="006B4B53" w:rsidRDefault="009C0E80" w:rsidP="00BF3250">
            <w:pPr>
              <w:rPr>
                <w:sz w:val="18"/>
                <w:szCs w:val="18"/>
              </w:rPr>
            </w:pPr>
            <w:r w:rsidRPr="006B4B53">
              <w:rPr>
                <w:sz w:val="18"/>
                <w:szCs w:val="18"/>
              </w:rPr>
              <w:t>Key staff have basic training in Sustainable Procurement principles</w:t>
            </w:r>
          </w:p>
        </w:tc>
        <w:tc>
          <w:tcPr>
            <w:tcW w:w="1220" w:type="dxa"/>
            <w:shd w:val="clear" w:color="auto" w:fill="DAE9F7" w:themeFill="text2" w:themeFillTint="1A"/>
          </w:tcPr>
          <w:p w14:paraId="486EBF61" w14:textId="77777777" w:rsidR="009C0E80" w:rsidRPr="006B4B53" w:rsidRDefault="009C0E80" w:rsidP="00BF3250">
            <w:pPr>
              <w:rPr>
                <w:sz w:val="18"/>
                <w:szCs w:val="18"/>
              </w:rPr>
            </w:pPr>
            <w:r w:rsidRPr="006B4B53">
              <w:rPr>
                <w:sz w:val="18"/>
                <w:szCs w:val="18"/>
              </w:rPr>
              <w:t>Sustainable Procurement included in employee induction for key staff</w:t>
            </w:r>
          </w:p>
        </w:tc>
        <w:tc>
          <w:tcPr>
            <w:tcW w:w="1301" w:type="dxa"/>
            <w:shd w:val="clear" w:color="auto" w:fill="DAE9F7" w:themeFill="text2" w:themeFillTint="1A"/>
          </w:tcPr>
          <w:p w14:paraId="5BB0BCC9" w14:textId="50A80DCF"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59264" behindDoc="0" locked="0" layoutInCell="1" allowOverlap="1" wp14:anchorId="3862D0D6" wp14:editId="4C68B056">
                      <wp:simplePos x="0" y="0"/>
                      <wp:positionH relativeFrom="column">
                        <wp:posOffset>-51435</wp:posOffset>
                      </wp:positionH>
                      <wp:positionV relativeFrom="paragraph">
                        <wp:posOffset>20955</wp:posOffset>
                      </wp:positionV>
                      <wp:extent cx="781050" cy="1200150"/>
                      <wp:effectExtent l="0" t="0" r="19050" b="19050"/>
                      <wp:wrapNone/>
                      <wp:docPr id="2099860304" name="Rectangle 2"/>
                      <wp:cNvGraphicFramePr/>
                      <a:graphic xmlns:a="http://schemas.openxmlformats.org/drawingml/2006/main">
                        <a:graphicData uri="http://schemas.microsoft.com/office/word/2010/wordprocessingShape">
                          <wps:wsp>
                            <wps:cNvSpPr/>
                            <wps:spPr>
                              <a:xfrm>
                                <a:off x="0" y="0"/>
                                <a:ext cx="781050" cy="1200150"/>
                              </a:xfrm>
                              <a:prstGeom prst="rect">
                                <a:avLst/>
                              </a:prstGeom>
                              <a:noFill/>
                              <a:ln w="19050">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3F41F" id="Rectangle 2" o:spid="_x0000_s1026" style="position:absolute;margin-left:-4.05pt;margin-top:1.65pt;width:61.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" filled="f" strokecolor="black [3213]" strokeweight="1.5pt"/>
                  </w:pict>
                </mc:Fallback>
              </mc:AlternateContent>
            </w:r>
            <w:r w:rsidR="009C0E80" w:rsidRPr="006B4B53">
              <w:rPr>
                <w:sz w:val="18"/>
                <w:szCs w:val="18"/>
              </w:rPr>
              <w:t xml:space="preserve">All </w:t>
            </w:r>
            <w:r w:rsidR="009C0E80">
              <w:rPr>
                <w:sz w:val="18"/>
                <w:szCs w:val="18"/>
              </w:rPr>
              <w:t xml:space="preserve">procurement </w:t>
            </w:r>
            <w:r w:rsidR="009C0E80" w:rsidRPr="006B4B53">
              <w:rPr>
                <w:sz w:val="18"/>
                <w:szCs w:val="18"/>
              </w:rPr>
              <w:t>staff have basic training in Sustainable Procurement principles</w:t>
            </w:r>
          </w:p>
        </w:tc>
        <w:tc>
          <w:tcPr>
            <w:tcW w:w="1173" w:type="dxa"/>
            <w:shd w:val="clear" w:color="auto" w:fill="DAE9F7" w:themeFill="text2" w:themeFillTint="1A"/>
          </w:tcPr>
          <w:p w14:paraId="26474EFA" w14:textId="59F8C798" w:rsidR="009C0E80" w:rsidRPr="006B4B53" w:rsidRDefault="009C0E80" w:rsidP="00BF3250">
            <w:pPr>
              <w:rPr>
                <w:sz w:val="18"/>
                <w:szCs w:val="18"/>
              </w:rPr>
            </w:pPr>
            <w:r w:rsidRPr="006B4B53">
              <w:rPr>
                <w:sz w:val="18"/>
                <w:szCs w:val="18"/>
              </w:rPr>
              <w:t>Champion has advanced training in Sustainable Procurement principles</w:t>
            </w:r>
          </w:p>
        </w:tc>
        <w:tc>
          <w:tcPr>
            <w:tcW w:w="1169" w:type="dxa"/>
            <w:shd w:val="clear" w:color="auto" w:fill="DAE9F7" w:themeFill="text2" w:themeFillTint="1A"/>
          </w:tcPr>
          <w:p w14:paraId="18AD8C23" w14:textId="77777777" w:rsidR="009C0E80" w:rsidRPr="006B4B53" w:rsidRDefault="009C0E80" w:rsidP="00BF3250">
            <w:pPr>
              <w:rPr>
                <w:sz w:val="18"/>
                <w:szCs w:val="18"/>
              </w:rPr>
            </w:pPr>
            <w:r w:rsidRPr="006B4B53">
              <w:rPr>
                <w:sz w:val="18"/>
                <w:szCs w:val="18"/>
              </w:rPr>
              <w:t>Sustainable procurement embedded into appraisals, performance objectives and incentives</w:t>
            </w:r>
          </w:p>
        </w:tc>
        <w:tc>
          <w:tcPr>
            <w:tcW w:w="1233" w:type="dxa"/>
            <w:shd w:val="clear" w:color="auto" w:fill="DAE9F7" w:themeFill="text2" w:themeFillTint="1A"/>
          </w:tcPr>
          <w:p w14:paraId="54E5E0D9" w14:textId="56DAAA73"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69504" behindDoc="0" locked="0" layoutInCell="1" allowOverlap="1" wp14:anchorId="4D049737" wp14:editId="71AB984D">
                      <wp:simplePos x="0" y="0"/>
                      <wp:positionH relativeFrom="column">
                        <wp:posOffset>-7620</wp:posOffset>
                      </wp:positionH>
                      <wp:positionV relativeFrom="paragraph">
                        <wp:posOffset>23495</wp:posOffset>
                      </wp:positionV>
                      <wp:extent cx="638175" cy="1019175"/>
                      <wp:effectExtent l="0" t="0" r="28575" b="28575"/>
                      <wp:wrapNone/>
                      <wp:docPr id="912474884" name="Rectangle 2"/>
                      <wp:cNvGraphicFramePr/>
                      <a:graphic xmlns:a="http://schemas.openxmlformats.org/drawingml/2006/main">
                        <a:graphicData uri="http://schemas.microsoft.com/office/word/2010/wordprocessingShape">
                          <wps:wsp>
                            <wps:cNvSpPr/>
                            <wps:spPr>
                              <a:xfrm>
                                <a:off x="0" y="0"/>
                                <a:ext cx="638175" cy="1019175"/>
                              </a:xfrm>
                              <a:prstGeom prst="rect">
                                <a:avLst/>
                              </a:prstGeom>
                              <a:noFill/>
                              <a:ln w="19050">
                                <a:solidFill>
                                  <a:srgbClr val="FF0000"/>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99C68" id="Rectangle 2" o:spid="_x0000_s1026" style="position:absolute;margin-left:-.6pt;margin-top:1.85pt;width:50.25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" filled="f" strokecolor="red" strokeweight="1.5pt"/>
                  </w:pict>
                </mc:Fallback>
              </mc:AlternateContent>
            </w:r>
            <w:r w:rsidR="009C0E80" w:rsidRPr="006B4B53">
              <w:rPr>
                <w:sz w:val="18"/>
                <w:szCs w:val="18"/>
              </w:rPr>
              <w:t>Sustainable Procurement listed as desirable in selection criteria</w:t>
            </w:r>
          </w:p>
        </w:tc>
        <w:tc>
          <w:tcPr>
            <w:tcW w:w="1301" w:type="dxa"/>
            <w:shd w:val="clear" w:color="auto" w:fill="DAE9F7" w:themeFill="text2" w:themeFillTint="1A"/>
          </w:tcPr>
          <w:p w14:paraId="11EFBF46" w14:textId="77777777" w:rsidR="009C0E80" w:rsidRPr="006B4B53" w:rsidRDefault="009C0E80" w:rsidP="00BF3250">
            <w:pPr>
              <w:rPr>
                <w:sz w:val="18"/>
                <w:szCs w:val="18"/>
              </w:rPr>
            </w:pPr>
            <w:r w:rsidRPr="006B4B53">
              <w:rPr>
                <w:sz w:val="18"/>
                <w:szCs w:val="18"/>
              </w:rPr>
              <w:t xml:space="preserve">Sustainable Procurement included </w:t>
            </w:r>
            <w:r>
              <w:rPr>
                <w:sz w:val="18"/>
                <w:szCs w:val="18"/>
              </w:rPr>
              <w:t xml:space="preserve">in </w:t>
            </w:r>
            <w:r w:rsidRPr="006B4B53">
              <w:rPr>
                <w:sz w:val="18"/>
                <w:szCs w:val="18"/>
              </w:rPr>
              <w:t>employee induction for all staff in regular contact with procurement</w:t>
            </w:r>
          </w:p>
        </w:tc>
        <w:tc>
          <w:tcPr>
            <w:tcW w:w="1301" w:type="dxa"/>
            <w:shd w:val="clear" w:color="auto" w:fill="DAE9F7" w:themeFill="text2" w:themeFillTint="1A"/>
          </w:tcPr>
          <w:p w14:paraId="35899D1F" w14:textId="77777777" w:rsidR="009C0E80" w:rsidRPr="006B4B53" w:rsidRDefault="009C0E80" w:rsidP="00BF3250">
            <w:pPr>
              <w:rPr>
                <w:sz w:val="18"/>
                <w:szCs w:val="18"/>
              </w:rPr>
            </w:pPr>
            <w:r>
              <w:rPr>
                <w:sz w:val="18"/>
                <w:szCs w:val="18"/>
              </w:rPr>
              <w:t xml:space="preserve">Achievements </w:t>
            </w:r>
            <w:proofErr w:type="gramStart"/>
            <w:r>
              <w:rPr>
                <w:sz w:val="18"/>
                <w:szCs w:val="18"/>
              </w:rPr>
              <w:t>publicised,</w:t>
            </w:r>
            <w:proofErr w:type="gramEnd"/>
            <w:r>
              <w:rPr>
                <w:sz w:val="18"/>
                <w:szCs w:val="18"/>
              </w:rPr>
              <w:t xml:space="preserve"> awards received for achievements</w:t>
            </w:r>
          </w:p>
        </w:tc>
        <w:tc>
          <w:tcPr>
            <w:tcW w:w="1181" w:type="dxa"/>
            <w:shd w:val="clear" w:color="auto" w:fill="DAE9F7" w:themeFill="text2" w:themeFillTint="1A"/>
          </w:tcPr>
          <w:p w14:paraId="7B5D8D0B" w14:textId="77777777" w:rsidR="009C0E80" w:rsidRPr="006B4B53" w:rsidRDefault="009C0E80" w:rsidP="00BF3250">
            <w:pPr>
              <w:rPr>
                <w:sz w:val="18"/>
                <w:szCs w:val="18"/>
              </w:rPr>
            </w:pPr>
            <w:r w:rsidRPr="006B4B53">
              <w:rPr>
                <w:sz w:val="18"/>
                <w:szCs w:val="18"/>
              </w:rPr>
              <w:t>Good practice shared with other Universities</w:t>
            </w:r>
          </w:p>
        </w:tc>
      </w:tr>
      <w:tr w:rsidR="009C0E80" w14:paraId="7DCB51B1" w14:textId="77777777" w:rsidTr="00BF3250">
        <w:tc>
          <w:tcPr>
            <w:tcW w:w="1584" w:type="dxa"/>
            <w:shd w:val="clear" w:color="auto" w:fill="0F4761" w:themeFill="accent1" w:themeFillShade="BF"/>
          </w:tcPr>
          <w:p w14:paraId="3B4CE813" w14:textId="77777777" w:rsidR="009C0E80" w:rsidRPr="000374DE" w:rsidRDefault="009C0E80" w:rsidP="00BF3250">
            <w:pPr>
              <w:rPr>
                <w:b/>
                <w:bCs/>
                <w:color w:val="FFFFFF" w:themeColor="background1"/>
              </w:rPr>
            </w:pPr>
            <w:r w:rsidRPr="000374DE">
              <w:rPr>
                <w:b/>
                <w:bCs/>
                <w:color w:val="FFFFFF" w:themeColor="background1"/>
              </w:rPr>
              <w:t xml:space="preserve">Policy Strategy and Commun- </w:t>
            </w:r>
            <w:proofErr w:type="spellStart"/>
            <w:r w:rsidRPr="000374DE">
              <w:rPr>
                <w:b/>
                <w:bCs/>
                <w:color w:val="FFFFFF" w:themeColor="background1"/>
              </w:rPr>
              <w:t>ication</w:t>
            </w:r>
            <w:proofErr w:type="spellEnd"/>
          </w:p>
        </w:tc>
        <w:tc>
          <w:tcPr>
            <w:tcW w:w="1301" w:type="dxa"/>
            <w:shd w:val="clear" w:color="auto" w:fill="D9F2D0" w:themeFill="accent6" w:themeFillTint="33"/>
          </w:tcPr>
          <w:p w14:paraId="106FE17E" w14:textId="77777777" w:rsidR="009C0E80" w:rsidRPr="006B4B53" w:rsidRDefault="009C0E80" w:rsidP="00BF3250">
            <w:pPr>
              <w:rPr>
                <w:sz w:val="18"/>
                <w:szCs w:val="18"/>
              </w:rPr>
            </w:pPr>
            <w:r w:rsidRPr="006B4B53">
              <w:rPr>
                <w:sz w:val="18"/>
                <w:szCs w:val="18"/>
              </w:rPr>
              <w:t>Overarching sustainability objectives agreed and communicated to key staff</w:t>
            </w:r>
          </w:p>
        </w:tc>
        <w:tc>
          <w:tcPr>
            <w:tcW w:w="1184" w:type="dxa"/>
            <w:shd w:val="clear" w:color="auto" w:fill="D9F2D0" w:themeFill="accent6" w:themeFillTint="33"/>
          </w:tcPr>
          <w:p w14:paraId="2F2A6848" w14:textId="77777777" w:rsidR="009C0E80" w:rsidRPr="006B4B53" w:rsidRDefault="009C0E80" w:rsidP="00BF3250">
            <w:pPr>
              <w:rPr>
                <w:sz w:val="18"/>
                <w:szCs w:val="18"/>
              </w:rPr>
            </w:pPr>
            <w:r>
              <w:rPr>
                <w:sz w:val="18"/>
                <w:szCs w:val="18"/>
              </w:rPr>
              <w:t>Sustainability included in procurement policy in some capacity</w:t>
            </w:r>
          </w:p>
        </w:tc>
        <w:tc>
          <w:tcPr>
            <w:tcW w:w="1220" w:type="dxa"/>
            <w:shd w:val="clear" w:color="auto" w:fill="D9F2D0" w:themeFill="accent6" w:themeFillTint="33"/>
          </w:tcPr>
          <w:p w14:paraId="08EF4CE7" w14:textId="180502A3"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61312" behindDoc="0" locked="0" layoutInCell="1" allowOverlap="1" wp14:anchorId="56207BA6" wp14:editId="0D07672C">
                      <wp:simplePos x="0" y="0"/>
                      <wp:positionH relativeFrom="column">
                        <wp:posOffset>-19050</wp:posOffset>
                      </wp:positionH>
                      <wp:positionV relativeFrom="paragraph">
                        <wp:posOffset>29210</wp:posOffset>
                      </wp:positionV>
                      <wp:extent cx="638175" cy="1019175"/>
                      <wp:effectExtent l="0" t="0" r="28575" b="28575"/>
                      <wp:wrapNone/>
                      <wp:docPr id="874881830" name="Rectangle 2"/>
                      <wp:cNvGraphicFramePr/>
                      <a:graphic xmlns:a="http://schemas.openxmlformats.org/drawingml/2006/main">
                        <a:graphicData uri="http://schemas.microsoft.com/office/word/2010/wordprocessingShape">
                          <wps:wsp>
                            <wps:cNvSpPr/>
                            <wps:spPr>
                              <a:xfrm>
                                <a:off x="0" y="0"/>
                                <a:ext cx="638175" cy="1019175"/>
                              </a:xfrm>
                              <a:prstGeom prst="rect">
                                <a:avLst/>
                              </a:prstGeom>
                              <a:noFill/>
                              <a:ln w="19050">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F2FCB" id="Rectangle 2" o:spid="_x0000_s1026" style="position:absolute;margin-left:-1.5pt;margin-top:2.3pt;width:50.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" filled="f" strokecolor="black [3213]" strokeweight="1.5pt"/>
                  </w:pict>
                </mc:Fallback>
              </mc:AlternateContent>
            </w:r>
            <w:r w:rsidR="009C0E80">
              <w:rPr>
                <w:sz w:val="18"/>
                <w:szCs w:val="18"/>
              </w:rPr>
              <w:t>Dedicated S</w:t>
            </w:r>
            <w:r w:rsidR="009C0E80" w:rsidRPr="006B4B53">
              <w:rPr>
                <w:sz w:val="18"/>
                <w:szCs w:val="18"/>
              </w:rPr>
              <w:t xml:space="preserve">ustainable </w:t>
            </w:r>
            <w:r w:rsidR="009C0E80">
              <w:rPr>
                <w:sz w:val="18"/>
                <w:szCs w:val="18"/>
              </w:rPr>
              <w:t>P</w:t>
            </w:r>
            <w:r w:rsidR="009C0E80" w:rsidRPr="006B4B53">
              <w:rPr>
                <w:sz w:val="18"/>
                <w:szCs w:val="18"/>
              </w:rPr>
              <w:t>rocurement policy in place</w:t>
            </w:r>
          </w:p>
        </w:tc>
        <w:tc>
          <w:tcPr>
            <w:tcW w:w="1301" w:type="dxa"/>
            <w:shd w:val="clear" w:color="auto" w:fill="D9F2D0" w:themeFill="accent6" w:themeFillTint="33"/>
          </w:tcPr>
          <w:p w14:paraId="5F65FCFA" w14:textId="4BF884A1" w:rsidR="009C0E80" w:rsidRPr="006B4B53" w:rsidRDefault="009C0E80" w:rsidP="00BF3250">
            <w:pPr>
              <w:rPr>
                <w:sz w:val="18"/>
                <w:szCs w:val="18"/>
              </w:rPr>
            </w:pPr>
            <w:r>
              <w:rPr>
                <w:sz w:val="18"/>
                <w:szCs w:val="18"/>
              </w:rPr>
              <w:t>Sustainable Procurement communicated to staff beyond the team</w:t>
            </w:r>
          </w:p>
        </w:tc>
        <w:tc>
          <w:tcPr>
            <w:tcW w:w="1173" w:type="dxa"/>
            <w:shd w:val="clear" w:color="auto" w:fill="D9F2D0" w:themeFill="accent6" w:themeFillTint="33"/>
          </w:tcPr>
          <w:p w14:paraId="66A6F276" w14:textId="77777777" w:rsidR="009C0E80" w:rsidRPr="006B4B53" w:rsidRDefault="009C0E80" w:rsidP="00BF3250">
            <w:pPr>
              <w:rPr>
                <w:sz w:val="18"/>
                <w:szCs w:val="18"/>
              </w:rPr>
            </w:pPr>
            <w:r>
              <w:rPr>
                <w:sz w:val="18"/>
                <w:szCs w:val="18"/>
              </w:rPr>
              <w:t>Develop Sustainable Procurement Strategy feeding from policy</w:t>
            </w:r>
          </w:p>
        </w:tc>
        <w:tc>
          <w:tcPr>
            <w:tcW w:w="1169" w:type="dxa"/>
            <w:shd w:val="clear" w:color="auto" w:fill="D9F2D0" w:themeFill="accent6" w:themeFillTint="33"/>
          </w:tcPr>
          <w:p w14:paraId="2DB08B6F" w14:textId="77777777" w:rsidR="009C0E80" w:rsidRPr="006B4B53" w:rsidRDefault="009C0E80" w:rsidP="00BF3250">
            <w:pPr>
              <w:rPr>
                <w:sz w:val="18"/>
                <w:szCs w:val="18"/>
              </w:rPr>
            </w:pPr>
            <w:r>
              <w:rPr>
                <w:sz w:val="18"/>
                <w:szCs w:val="18"/>
              </w:rPr>
              <w:t>Integrate risk, process integration, supplier engagement into strategy</w:t>
            </w:r>
          </w:p>
        </w:tc>
        <w:tc>
          <w:tcPr>
            <w:tcW w:w="1233" w:type="dxa"/>
            <w:shd w:val="clear" w:color="auto" w:fill="D9F2D0" w:themeFill="accent6" w:themeFillTint="33"/>
          </w:tcPr>
          <w:p w14:paraId="68E1F0BF" w14:textId="6F464498"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71552" behindDoc="0" locked="0" layoutInCell="1" allowOverlap="1" wp14:anchorId="1EDDF115" wp14:editId="6BCF1619">
                      <wp:simplePos x="0" y="0"/>
                      <wp:positionH relativeFrom="column">
                        <wp:posOffset>-7620</wp:posOffset>
                      </wp:positionH>
                      <wp:positionV relativeFrom="paragraph">
                        <wp:posOffset>25400</wp:posOffset>
                      </wp:positionV>
                      <wp:extent cx="638175" cy="1019175"/>
                      <wp:effectExtent l="0" t="0" r="28575" b="28575"/>
                      <wp:wrapNone/>
                      <wp:docPr id="657682824" name="Rectangle 2"/>
                      <wp:cNvGraphicFramePr/>
                      <a:graphic xmlns:a="http://schemas.openxmlformats.org/drawingml/2006/main">
                        <a:graphicData uri="http://schemas.microsoft.com/office/word/2010/wordprocessingShape">
                          <wps:wsp>
                            <wps:cNvSpPr/>
                            <wps:spPr>
                              <a:xfrm>
                                <a:off x="0" y="0"/>
                                <a:ext cx="638175" cy="1019175"/>
                              </a:xfrm>
                              <a:prstGeom prst="rect">
                                <a:avLst/>
                              </a:prstGeom>
                              <a:noFill/>
                              <a:ln w="19050">
                                <a:solidFill>
                                  <a:srgbClr val="FF0000"/>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BF0C4" id="Rectangle 2" o:spid="_x0000_s1026" style="position:absolute;margin-left:-.6pt;margin-top:2pt;width:50.25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" filled="f" strokecolor="red" strokeweight="1.5pt"/>
                  </w:pict>
                </mc:Fallback>
              </mc:AlternateContent>
            </w:r>
            <w:r w:rsidR="009C0E80">
              <w:rPr>
                <w:sz w:val="18"/>
                <w:szCs w:val="18"/>
              </w:rPr>
              <w:t>Integrate measurement and review into strategy</w:t>
            </w:r>
          </w:p>
        </w:tc>
        <w:tc>
          <w:tcPr>
            <w:tcW w:w="1301" w:type="dxa"/>
            <w:shd w:val="clear" w:color="auto" w:fill="D9F2D0" w:themeFill="accent6" w:themeFillTint="33"/>
          </w:tcPr>
          <w:p w14:paraId="3EDDBDE8" w14:textId="77777777" w:rsidR="009C0E80" w:rsidRPr="006B4B53" w:rsidRDefault="009C0E80" w:rsidP="00BF3250">
            <w:pPr>
              <w:rPr>
                <w:sz w:val="18"/>
                <w:szCs w:val="18"/>
              </w:rPr>
            </w:pPr>
            <w:r>
              <w:rPr>
                <w:sz w:val="18"/>
                <w:szCs w:val="18"/>
              </w:rPr>
              <w:t>Attain policy and strategy approval from Executive Board</w:t>
            </w:r>
          </w:p>
        </w:tc>
        <w:tc>
          <w:tcPr>
            <w:tcW w:w="1301" w:type="dxa"/>
            <w:shd w:val="clear" w:color="auto" w:fill="D9F2D0" w:themeFill="accent6" w:themeFillTint="33"/>
          </w:tcPr>
          <w:p w14:paraId="5BCB440C" w14:textId="77777777" w:rsidR="009C0E80" w:rsidRPr="006B4B53" w:rsidRDefault="009C0E80" w:rsidP="00BF3250">
            <w:pPr>
              <w:rPr>
                <w:sz w:val="18"/>
                <w:szCs w:val="18"/>
              </w:rPr>
            </w:pPr>
            <w:r>
              <w:rPr>
                <w:sz w:val="18"/>
                <w:szCs w:val="18"/>
              </w:rPr>
              <w:t>Policy and Strategy are communicated widely</w:t>
            </w:r>
          </w:p>
        </w:tc>
        <w:tc>
          <w:tcPr>
            <w:tcW w:w="1181" w:type="dxa"/>
            <w:shd w:val="clear" w:color="auto" w:fill="D9F2D0" w:themeFill="accent6" w:themeFillTint="33"/>
          </w:tcPr>
          <w:p w14:paraId="1FFE673D" w14:textId="77777777" w:rsidR="009C0E80" w:rsidRPr="006B4B53" w:rsidRDefault="009C0E80" w:rsidP="00BF3250">
            <w:pPr>
              <w:rPr>
                <w:sz w:val="18"/>
                <w:szCs w:val="18"/>
              </w:rPr>
            </w:pPr>
            <w:r>
              <w:rPr>
                <w:sz w:val="18"/>
                <w:szCs w:val="18"/>
              </w:rPr>
              <w:t>Detailed Policy and Strategy review conducted with stakeholder consultation</w:t>
            </w:r>
          </w:p>
        </w:tc>
      </w:tr>
      <w:tr w:rsidR="009C0E80" w14:paraId="2F14F5B4" w14:textId="77777777" w:rsidTr="007547C7">
        <w:tc>
          <w:tcPr>
            <w:tcW w:w="1584" w:type="dxa"/>
            <w:shd w:val="clear" w:color="auto" w:fill="0F4761" w:themeFill="accent1" w:themeFillShade="BF"/>
          </w:tcPr>
          <w:p w14:paraId="7C09FEE4" w14:textId="77777777" w:rsidR="009C0E80" w:rsidRPr="000374DE" w:rsidRDefault="009C0E80" w:rsidP="00BF3250">
            <w:pPr>
              <w:rPr>
                <w:b/>
                <w:bCs/>
                <w:color w:val="FFFFFF" w:themeColor="background1"/>
              </w:rPr>
            </w:pPr>
            <w:r w:rsidRPr="000374DE">
              <w:rPr>
                <w:b/>
                <w:bCs/>
                <w:color w:val="FFFFFF" w:themeColor="background1"/>
              </w:rPr>
              <w:lastRenderedPageBreak/>
              <w:t>Procurement Process</w:t>
            </w:r>
          </w:p>
        </w:tc>
        <w:tc>
          <w:tcPr>
            <w:tcW w:w="1301" w:type="dxa"/>
            <w:shd w:val="clear" w:color="auto" w:fill="FFFFCC"/>
          </w:tcPr>
          <w:p w14:paraId="268459F4" w14:textId="77777777" w:rsidR="009C0E80" w:rsidRPr="006B4B53" w:rsidRDefault="009C0E80" w:rsidP="00BF3250">
            <w:pPr>
              <w:rPr>
                <w:sz w:val="18"/>
                <w:szCs w:val="18"/>
              </w:rPr>
            </w:pPr>
            <w:r w:rsidRPr="006B4B53">
              <w:rPr>
                <w:sz w:val="18"/>
                <w:szCs w:val="18"/>
              </w:rPr>
              <w:t>Preliminary spend analysis undertaken</w:t>
            </w:r>
          </w:p>
        </w:tc>
        <w:tc>
          <w:tcPr>
            <w:tcW w:w="1184" w:type="dxa"/>
            <w:shd w:val="clear" w:color="auto" w:fill="FFFFCC"/>
          </w:tcPr>
          <w:p w14:paraId="3E7BB97C" w14:textId="77777777" w:rsidR="009C0E80" w:rsidRPr="006B4B53" w:rsidRDefault="009C0E80" w:rsidP="00BF3250">
            <w:pPr>
              <w:rPr>
                <w:sz w:val="18"/>
                <w:szCs w:val="18"/>
              </w:rPr>
            </w:pPr>
            <w:r w:rsidRPr="006B4B53">
              <w:rPr>
                <w:sz w:val="18"/>
                <w:szCs w:val="18"/>
              </w:rPr>
              <w:t>Detailed spend analysis undertaken, identifying key areas</w:t>
            </w:r>
          </w:p>
        </w:tc>
        <w:tc>
          <w:tcPr>
            <w:tcW w:w="1220" w:type="dxa"/>
            <w:shd w:val="clear" w:color="auto" w:fill="FFFFCC"/>
          </w:tcPr>
          <w:p w14:paraId="2B87ADB4" w14:textId="77777777" w:rsidR="009C0E80" w:rsidRPr="006B4B53" w:rsidRDefault="009C0E80" w:rsidP="00BF3250">
            <w:pPr>
              <w:rPr>
                <w:sz w:val="18"/>
                <w:szCs w:val="18"/>
              </w:rPr>
            </w:pPr>
            <w:r w:rsidRPr="006B4B53">
              <w:rPr>
                <w:sz w:val="18"/>
                <w:szCs w:val="18"/>
              </w:rPr>
              <w:t xml:space="preserve">Key contracts include sustainability criteria, sustainability considered early in procurement </w:t>
            </w:r>
          </w:p>
        </w:tc>
        <w:tc>
          <w:tcPr>
            <w:tcW w:w="1301" w:type="dxa"/>
            <w:shd w:val="clear" w:color="auto" w:fill="FFFFCC"/>
          </w:tcPr>
          <w:p w14:paraId="0F1F9C33" w14:textId="5241B369"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63360" behindDoc="0" locked="0" layoutInCell="1" allowOverlap="1" wp14:anchorId="172C0AF7" wp14:editId="45DA82F8">
                      <wp:simplePos x="0" y="0"/>
                      <wp:positionH relativeFrom="column">
                        <wp:posOffset>-24130</wp:posOffset>
                      </wp:positionH>
                      <wp:positionV relativeFrom="paragraph">
                        <wp:posOffset>19685</wp:posOffset>
                      </wp:positionV>
                      <wp:extent cx="638175" cy="1019175"/>
                      <wp:effectExtent l="0" t="0" r="28575" b="28575"/>
                      <wp:wrapNone/>
                      <wp:docPr id="1794053538" name="Rectangle 2"/>
                      <wp:cNvGraphicFramePr/>
                      <a:graphic xmlns:a="http://schemas.openxmlformats.org/drawingml/2006/main">
                        <a:graphicData uri="http://schemas.microsoft.com/office/word/2010/wordprocessingShape">
                          <wps:wsp>
                            <wps:cNvSpPr/>
                            <wps:spPr>
                              <a:xfrm>
                                <a:off x="0" y="0"/>
                                <a:ext cx="638175" cy="1019175"/>
                              </a:xfrm>
                              <a:prstGeom prst="rect">
                                <a:avLst/>
                              </a:prstGeom>
                              <a:noFill/>
                              <a:ln w="19050">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D40E4" id="Rectangle 2" o:spid="_x0000_s1026" style="position:absolute;margin-left:-1.9pt;margin-top:1.55pt;width:50.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" filled="f" strokecolor="black [3213]" strokeweight="1.5pt"/>
                  </w:pict>
                </mc:Fallback>
              </mc:AlternateContent>
            </w:r>
            <w:r w:rsidR="009C0E80" w:rsidRPr="006B4B53">
              <w:rPr>
                <w:sz w:val="18"/>
                <w:szCs w:val="18"/>
              </w:rPr>
              <w:t>Value for money and Whole-Life Costing principles adopted.</w:t>
            </w:r>
            <w:r>
              <w:rPr>
                <w:b/>
                <w:bCs/>
                <w:noProof/>
                <w:color w:val="FFFFFF" w:themeColor="background1"/>
              </w:rPr>
              <w:t xml:space="preserve"> </w:t>
            </w:r>
          </w:p>
        </w:tc>
        <w:tc>
          <w:tcPr>
            <w:tcW w:w="1173" w:type="dxa"/>
            <w:shd w:val="clear" w:color="auto" w:fill="FFFFCC"/>
          </w:tcPr>
          <w:p w14:paraId="4AB800C8" w14:textId="77777777" w:rsidR="009C0E80" w:rsidRPr="006B4B53" w:rsidRDefault="009C0E80" w:rsidP="00BF3250">
            <w:pPr>
              <w:rPr>
                <w:sz w:val="18"/>
                <w:szCs w:val="18"/>
              </w:rPr>
            </w:pPr>
            <w:r>
              <w:rPr>
                <w:sz w:val="18"/>
                <w:szCs w:val="18"/>
              </w:rPr>
              <w:t xml:space="preserve">High Impact </w:t>
            </w:r>
            <w:r w:rsidRPr="006B4B53">
              <w:rPr>
                <w:sz w:val="18"/>
                <w:szCs w:val="18"/>
              </w:rPr>
              <w:t>contracts assessed for sustainability risks through procurement process.</w:t>
            </w:r>
          </w:p>
        </w:tc>
        <w:tc>
          <w:tcPr>
            <w:tcW w:w="1169" w:type="dxa"/>
            <w:shd w:val="clear" w:color="auto" w:fill="FFFFCC"/>
          </w:tcPr>
          <w:p w14:paraId="1002D199" w14:textId="1B0D9270"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73600" behindDoc="0" locked="0" layoutInCell="1" allowOverlap="1" wp14:anchorId="3CBE8154" wp14:editId="67DE6786">
                      <wp:simplePos x="0" y="0"/>
                      <wp:positionH relativeFrom="column">
                        <wp:posOffset>-47625</wp:posOffset>
                      </wp:positionH>
                      <wp:positionV relativeFrom="paragraph">
                        <wp:posOffset>22225</wp:posOffset>
                      </wp:positionV>
                      <wp:extent cx="638175" cy="1133475"/>
                      <wp:effectExtent l="0" t="0" r="28575" b="28575"/>
                      <wp:wrapNone/>
                      <wp:docPr id="1308390280" name="Rectangle 2"/>
                      <wp:cNvGraphicFramePr/>
                      <a:graphic xmlns:a="http://schemas.openxmlformats.org/drawingml/2006/main">
                        <a:graphicData uri="http://schemas.microsoft.com/office/word/2010/wordprocessingShape">
                          <wps:wsp>
                            <wps:cNvSpPr/>
                            <wps:spPr>
                              <a:xfrm>
                                <a:off x="0" y="0"/>
                                <a:ext cx="638175" cy="1133475"/>
                              </a:xfrm>
                              <a:prstGeom prst="rect">
                                <a:avLst/>
                              </a:prstGeom>
                              <a:noFill/>
                              <a:ln w="19050">
                                <a:solidFill>
                                  <a:srgbClr val="FF0000"/>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BDAF" id="Rectangle 2" o:spid="_x0000_s1026" style="position:absolute;margin-left:-3.75pt;margin-top:1.75pt;width:50.25pt;height:8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" filled="f" strokecolor="red" strokeweight="1.5pt"/>
                  </w:pict>
                </mc:Fallback>
              </mc:AlternateContent>
            </w:r>
            <w:r w:rsidR="009C0E80">
              <w:rPr>
                <w:sz w:val="18"/>
                <w:szCs w:val="18"/>
              </w:rPr>
              <w:t>Key suppliers surveyed to attain supplier-specific carbon factors</w:t>
            </w:r>
          </w:p>
        </w:tc>
        <w:tc>
          <w:tcPr>
            <w:tcW w:w="1233" w:type="dxa"/>
            <w:shd w:val="clear" w:color="auto" w:fill="FFFFCC"/>
          </w:tcPr>
          <w:p w14:paraId="572FA55C" w14:textId="77777777" w:rsidR="009C0E80" w:rsidRPr="006B4B53" w:rsidRDefault="009C0E80" w:rsidP="00BF3250">
            <w:pPr>
              <w:rPr>
                <w:sz w:val="18"/>
                <w:szCs w:val="18"/>
              </w:rPr>
            </w:pPr>
            <w:r>
              <w:rPr>
                <w:sz w:val="18"/>
                <w:szCs w:val="18"/>
              </w:rPr>
              <w:t xml:space="preserve">High Impact </w:t>
            </w:r>
            <w:r w:rsidRPr="006B4B53">
              <w:rPr>
                <w:sz w:val="18"/>
                <w:szCs w:val="18"/>
              </w:rPr>
              <w:t xml:space="preserve">contracts assessed for </w:t>
            </w:r>
            <w:r w:rsidRPr="00310643">
              <w:rPr>
                <w:b/>
                <w:bCs/>
                <w:sz w:val="18"/>
                <w:szCs w:val="18"/>
              </w:rPr>
              <w:t>detailed</w:t>
            </w:r>
            <w:r>
              <w:rPr>
                <w:sz w:val="18"/>
                <w:szCs w:val="18"/>
              </w:rPr>
              <w:t xml:space="preserve"> </w:t>
            </w:r>
            <w:r w:rsidRPr="006B4B53">
              <w:rPr>
                <w:sz w:val="18"/>
                <w:szCs w:val="18"/>
              </w:rPr>
              <w:t>sustainability risks through procurement process</w:t>
            </w:r>
          </w:p>
        </w:tc>
        <w:tc>
          <w:tcPr>
            <w:tcW w:w="1301" w:type="dxa"/>
            <w:shd w:val="clear" w:color="auto" w:fill="FFFFCC"/>
          </w:tcPr>
          <w:p w14:paraId="59E79EE6" w14:textId="77777777" w:rsidR="009C0E80" w:rsidRPr="006B4B53" w:rsidRDefault="009C0E80" w:rsidP="00BF3250">
            <w:pPr>
              <w:rPr>
                <w:sz w:val="18"/>
                <w:szCs w:val="18"/>
              </w:rPr>
            </w:pPr>
            <w:proofErr w:type="gramStart"/>
            <w:r>
              <w:rPr>
                <w:sz w:val="18"/>
                <w:szCs w:val="18"/>
              </w:rPr>
              <w:t>Life-cycle</w:t>
            </w:r>
            <w:proofErr w:type="gramEnd"/>
            <w:r>
              <w:rPr>
                <w:sz w:val="18"/>
                <w:szCs w:val="18"/>
              </w:rPr>
              <w:t xml:space="preserve"> thinking approach to cost / impact is considered for new contracts</w:t>
            </w:r>
          </w:p>
        </w:tc>
        <w:tc>
          <w:tcPr>
            <w:tcW w:w="1301" w:type="dxa"/>
            <w:shd w:val="clear" w:color="auto" w:fill="FFFFCC"/>
          </w:tcPr>
          <w:p w14:paraId="25C7CDA6" w14:textId="77777777" w:rsidR="009C0E80" w:rsidRPr="006B4B53" w:rsidRDefault="009C0E80" w:rsidP="00BF3250">
            <w:pPr>
              <w:rPr>
                <w:sz w:val="18"/>
                <w:szCs w:val="18"/>
              </w:rPr>
            </w:pPr>
            <w:r>
              <w:rPr>
                <w:sz w:val="18"/>
                <w:szCs w:val="18"/>
              </w:rPr>
              <w:t>Sustainability KPIs agreed with key suppliers</w:t>
            </w:r>
          </w:p>
        </w:tc>
        <w:tc>
          <w:tcPr>
            <w:tcW w:w="1181" w:type="dxa"/>
            <w:shd w:val="clear" w:color="auto" w:fill="FFFFCC"/>
          </w:tcPr>
          <w:p w14:paraId="7D2928F3" w14:textId="77777777" w:rsidR="009C0E80" w:rsidRPr="006B4B53" w:rsidRDefault="009C0E80" w:rsidP="00BF3250">
            <w:pPr>
              <w:rPr>
                <w:sz w:val="18"/>
                <w:szCs w:val="18"/>
              </w:rPr>
            </w:pPr>
            <w:r>
              <w:rPr>
                <w:sz w:val="18"/>
                <w:szCs w:val="18"/>
              </w:rPr>
              <w:t>Streamlined life cycle analysis conducted for key commodities</w:t>
            </w:r>
          </w:p>
        </w:tc>
      </w:tr>
      <w:tr w:rsidR="009C0E80" w14:paraId="597C23E5" w14:textId="77777777" w:rsidTr="00BF3250">
        <w:tc>
          <w:tcPr>
            <w:tcW w:w="1584" w:type="dxa"/>
            <w:shd w:val="clear" w:color="auto" w:fill="0F4761" w:themeFill="accent1" w:themeFillShade="BF"/>
          </w:tcPr>
          <w:p w14:paraId="5222C4F2" w14:textId="77777777" w:rsidR="009C0E80" w:rsidRPr="000374DE" w:rsidRDefault="009C0E80" w:rsidP="00BF3250">
            <w:pPr>
              <w:rPr>
                <w:b/>
                <w:bCs/>
                <w:color w:val="FFFFFF" w:themeColor="background1"/>
              </w:rPr>
            </w:pPr>
            <w:r w:rsidRPr="000374DE">
              <w:rPr>
                <w:b/>
                <w:bCs/>
                <w:color w:val="FFFFFF" w:themeColor="background1"/>
              </w:rPr>
              <w:t>Engaging Suppliers</w:t>
            </w:r>
          </w:p>
        </w:tc>
        <w:tc>
          <w:tcPr>
            <w:tcW w:w="1301" w:type="dxa"/>
            <w:shd w:val="clear" w:color="auto" w:fill="FAE2D5" w:themeFill="accent2" w:themeFillTint="33"/>
          </w:tcPr>
          <w:p w14:paraId="1AEA477E" w14:textId="77777777" w:rsidR="009C0E80" w:rsidRPr="006B4B53" w:rsidRDefault="009C0E80" w:rsidP="00BF3250">
            <w:pPr>
              <w:rPr>
                <w:sz w:val="18"/>
                <w:szCs w:val="18"/>
              </w:rPr>
            </w:pPr>
            <w:r w:rsidRPr="006B4B53">
              <w:rPr>
                <w:sz w:val="18"/>
                <w:szCs w:val="18"/>
              </w:rPr>
              <w:t>Supplier spend analysis undertaken</w:t>
            </w:r>
          </w:p>
        </w:tc>
        <w:tc>
          <w:tcPr>
            <w:tcW w:w="1184" w:type="dxa"/>
            <w:shd w:val="clear" w:color="auto" w:fill="FAE2D5" w:themeFill="accent2" w:themeFillTint="33"/>
          </w:tcPr>
          <w:p w14:paraId="28C55C81" w14:textId="77777777" w:rsidR="009C0E80" w:rsidRPr="006B4B53" w:rsidRDefault="009C0E80" w:rsidP="00BF3250">
            <w:pPr>
              <w:rPr>
                <w:sz w:val="18"/>
                <w:szCs w:val="18"/>
              </w:rPr>
            </w:pPr>
            <w:r w:rsidRPr="006B4B53">
              <w:rPr>
                <w:sz w:val="18"/>
                <w:szCs w:val="18"/>
              </w:rPr>
              <w:t>Key suppliers identified for engagemen</w:t>
            </w:r>
            <w:r>
              <w:rPr>
                <w:sz w:val="18"/>
                <w:szCs w:val="18"/>
              </w:rPr>
              <w:t>t</w:t>
            </w:r>
          </w:p>
        </w:tc>
        <w:tc>
          <w:tcPr>
            <w:tcW w:w="1220" w:type="dxa"/>
            <w:shd w:val="clear" w:color="auto" w:fill="FAE2D5" w:themeFill="accent2" w:themeFillTint="33"/>
          </w:tcPr>
          <w:p w14:paraId="367A8F64" w14:textId="77777777" w:rsidR="009C0E80" w:rsidRPr="006B4B53" w:rsidRDefault="009C0E80" w:rsidP="00BF3250">
            <w:pPr>
              <w:rPr>
                <w:sz w:val="18"/>
                <w:szCs w:val="18"/>
              </w:rPr>
            </w:pPr>
            <w:r w:rsidRPr="006B4B53">
              <w:rPr>
                <w:sz w:val="18"/>
                <w:szCs w:val="18"/>
              </w:rPr>
              <w:t>Supplier questionnaire includes basic sustainability questions</w:t>
            </w:r>
          </w:p>
        </w:tc>
        <w:tc>
          <w:tcPr>
            <w:tcW w:w="1301" w:type="dxa"/>
            <w:shd w:val="clear" w:color="auto" w:fill="FAE2D5" w:themeFill="accent2" w:themeFillTint="33"/>
          </w:tcPr>
          <w:p w14:paraId="16DBB098" w14:textId="3D8CAFF1"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65408" behindDoc="0" locked="0" layoutInCell="1" allowOverlap="1" wp14:anchorId="1323B6CF" wp14:editId="555B8FEF">
                      <wp:simplePos x="0" y="0"/>
                      <wp:positionH relativeFrom="column">
                        <wp:posOffset>-13335</wp:posOffset>
                      </wp:positionH>
                      <wp:positionV relativeFrom="paragraph">
                        <wp:posOffset>24130</wp:posOffset>
                      </wp:positionV>
                      <wp:extent cx="704850" cy="876300"/>
                      <wp:effectExtent l="0" t="0" r="19050" b="19050"/>
                      <wp:wrapNone/>
                      <wp:docPr id="1854081095" name="Rectangle 2"/>
                      <wp:cNvGraphicFramePr/>
                      <a:graphic xmlns:a="http://schemas.openxmlformats.org/drawingml/2006/main">
                        <a:graphicData uri="http://schemas.microsoft.com/office/word/2010/wordprocessingShape">
                          <wps:wsp>
                            <wps:cNvSpPr/>
                            <wps:spPr>
                              <a:xfrm>
                                <a:off x="0" y="0"/>
                                <a:ext cx="704850" cy="876300"/>
                              </a:xfrm>
                              <a:prstGeom prst="rect">
                                <a:avLst/>
                              </a:prstGeom>
                              <a:noFill/>
                              <a:ln w="19050">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26DC9" id="Rectangle 2" o:spid="_x0000_s1026" style="position:absolute;margin-left:-1.05pt;margin-top:1.9pt;width:55.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" filled="f" strokecolor="black [3213]" strokeweight="1.5pt"/>
                  </w:pict>
                </mc:Fallback>
              </mc:AlternateContent>
            </w:r>
            <w:r w:rsidR="009C0E80" w:rsidRPr="006B4B53">
              <w:rPr>
                <w:sz w:val="18"/>
                <w:szCs w:val="18"/>
              </w:rPr>
              <w:t>Supplier questionnaire includes detailed sustainability questions.</w:t>
            </w:r>
          </w:p>
        </w:tc>
        <w:tc>
          <w:tcPr>
            <w:tcW w:w="1173" w:type="dxa"/>
            <w:shd w:val="clear" w:color="auto" w:fill="FAE2D5" w:themeFill="accent2" w:themeFillTint="33"/>
          </w:tcPr>
          <w:p w14:paraId="051272B7" w14:textId="77777777" w:rsidR="009C0E80" w:rsidRPr="006B4B53" w:rsidRDefault="009C0E80" w:rsidP="00BF3250">
            <w:pPr>
              <w:rPr>
                <w:sz w:val="18"/>
                <w:szCs w:val="18"/>
              </w:rPr>
            </w:pPr>
            <w:r w:rsidRPr="006B4B53">
              <w:rPr>
                <w:sz w:val="18"/>
                <w:szCs w:val="18"/>
              </w:rPr>
              <w:t>General programme of supplier engagement conceived</w:t>
            </w:r>
          </w:p>
        </w:tc>
        <w:tc>
          <w:tcPr>
            <w:tcW w:w="1169" w:type="dxa"/>
            <w:shd w:val="clear" w:color="auto" w:fill="FAE2D5" w:themeFill="accent2" w:themeFillTint="33"/>
          </w:tcPr>
          <w:p w14:paraId="2FC79280" w14:textId="16129235" w:rsidR="009C0E80" w:rsidRPr="006B4B53" w:rsidRDefault="00F5338C" w:rsidP="00BF3250">
            <w:pPr>
              <w:rPr>
                <w:sz w:val="18"/>
                <w:szCs w:val="18"/>
              </w:rPr>
            </w:pPr>
            <w:r>
              <w:rPr>
                <w:b/>
                <w:bCs/>
                <w:noProof/>
                <w:color w:val="FFFFFF" w:themeColor="background1"/>
              </w:rPr>
              <mc:AlternateContent>
                <mc:Choice Requires="wps">
                  <w:drawing>
                    <wp:anchor distT="0" distB="0" distL="114300" distR="114300" simplePos="0" relativeHeight="251675648" behindDoc="0" locked="0" layoutInCell="1" allowOverlap="1" wp14:anchorId="7667C332" wp14:editId="7D364CE2">
                      <wp:simplePos x="0" y="0"/>
                      <wp:positionH relativeFrom="column">
                        <wp:posOffset>-47625</wp:posOffset>
                      </wp:positionH>
                      <wp:positionV relativeFrom="paragraph">
                        <wp:posOffset>14605</wp:posOffset>
                      </wp:positionV>
                      <wp:extent cx="638175" cy="971550"/>
                      <wp:effectExtent l="0" t="0" r="28575" b="19050"/>
                      <wp:wrapNone/>
                      <wp:docPr id="107061671" name="Rectangle 2"/>
                      <wp:cNvGraphicFramePr/>
                      <a:graphic xmlns:a="http://schemas.openxmlformats.org/drawingml/2006/main">
                        <a:graphicData uri="http://schemas.microsoft.com/office/word/2010/wordprocessingShape">
                          <wps:wsp>
                            <wps:cNvSpPr/>
                            <wps:spPr>
                              <a:xfrm>
                                <a:off x="0" y="0"/>
                                <a:ext cx="638175" cy="971550"/>
                              </a:xfrm>
                              <a:prstGeom prst="rect">
                                <a:avLst/>
                              </a:prstGeom>
                              <a:noFill/>
                              <a:ln w="19050">
                                <a:solidFill>
                                  <a:srgbClr val="FF0000"/>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B8E7C" id="Rectangle 2" o:spid="_x0000_s1026" style="position:absolute;margin-left:-3.75pt;margin-top:1.15pt;width:50.2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" filled="f" strokecolor="red" strokeweight="1.5pt"/>
                  </w:pict>
                </mc:Fallback>
              </mc:AlternateContent>
            </w:r>
            <w:r w:rsidR="009C0E80" w:rsidRPr="006B4B53">
              <w:rPr>
                <w:sz w:val="18"/>
                <w:szCs w:val="18"/>
              </w:rPr>
              <w:t>Targeted programme of supplier engagement with key suppliers initiated</w:t>
            </w:r>
          </w:p>
        </w:tc>
        <w:tc>
          <w:tcPr>
            <w:tcW w:w="1233" w:type="dxa"/>
            <w:shd w:val="clear" w:color="auto" w:fill="FAE2D5" w:themeFill="accent2" w:themeFillTint="33"/>
          </w:tcPr>
          <w:p w14:paraId="164BFEEF" w14:textId="77777777" w:rsidR="009C0E80" w:rsidRPr="006B4B53" w:rsidRDefault="009C0E80" w:rsidP="00BF3250">
            <w:pPr>
              <w:rPr>
                <w:sz w:val="18"/>
                <w:szCs w:val="18"/>
              </w:rPr>
            </w:pPr>
            <w:r w:rsidRPr="006B4B53">
              <w:rPr>
                <w:sz w:val="18"/>
                <w:szCs w:val="18"/>
              </w:rPr>
              <w:t>Supply chains for high impact suppliers mapped</w:t>
            </w:r>
          </w:p>
        </w:tc>
        <w:tc>
          <w:tcPr>
            <w:tcW w:w="1301" w:type="dxa"/>
            <w:shd w:val="clear" w:color="auto" w:fill="FAE2D5" w:themeFill="accent2" w:themeFillTint="33"/>
          </w:tcPr>
          <w:p w14:paraId="7C7FE6C5" w14:textId="77777777" w:rsidR="009C0E80" w:rsidRPr="006B4B53" w:rsidRDefault="009C0E80" w:rsidP="00BF3250">
            <w:pPr>
              <w:rPr>
                <w:sz w:val="18"/>
                <w:szCs w:val="18"/>
              </w:rPr>
            </w:pPr>
            <w:r>
              <w:rPr>
                <w:sz w:val="18"/>
                <w:szCs w:val="18"/>
              </w:rPr>
              <w:t>Sustainability improvement communicated to suppliers</w:t>
            </w:r>
          </w:p>
        </w:tc>
        <w:tc>
          <w:tcPr>
            <w:tcW w:w="1301" w:type="dxa"/>
            <w:shd w:val="clear" w:color="auto" w:fill="FAE2D5" w:themeFill="accent2" w:themeFillTint="33"/>
          </w:tcPr>
          <w:p w14:paraId="51C50C80" w14:textId="77777777" w:rsidR="009C0E80" w:rsidRPr="006B4B53" w:rsidRDefault="009C0E80" w:rsidP="00BF3250">
            <w:pPr>
              <w:rPr>
                <w:sz w:val="18"/>
                <w:szCs w:val="18"/>
              </w:rPr>
            </w:pPr>
            <w:r>
              <w:rPr>
                <w:sz w:val="18"/>
                <w:szCs w:val="18"/>
              </w:rPr>
              <w:t>Sustainability KPIs agreed with key suppliers</w:t>
            </w:r>
          </w:p>
        </w:tc>
        <w:tc>
          <w:tcPr>
            <w:tcW w:w="1181" w:type="dxa"/>
            <w:shd w:val="clear" w:color="auto" w:fill="FAE2D5" w:themeFill="accent2" w:themeFillTint="33"/>
          </w:tcPr>
          <w:p w14:paraId="0F7D6AF0" w14:textId="77777777" w:rsidR="009C0E80" w:rsidRPr="006B4B53" w:rsidRDefault="009C0E80" w:rsidP="00BF3250">
            <w:pPr>
              <w:rPr>
                <w:sz w:val="18"/>
                <w:szCs w:val="18"/>
              </w:rPr>
            </w:pPr>
            <w:r>
              <w:rPr>
                <w:sz w:val="18"/>
                <w:szCs w:val="18"/>
              </w:rPr>
              <w:t>Intensive development for key suppliers. Supplier audits in place</w:t>
            </w:r>
          </w:p>
        </w:tc>
      </w:tr>
      <w:tr w:rsidR="009C0E80" w14:paraId="2A8BBF77" w14:textId="77777777" w:rsidTr="00BF3250">
        <w:tc>
          <w:tcPr>
            <w:tcW w:w="1584" w:type="dxa"/>
            <w:shd w:val="clear" w:color="auto" w:fill="0F4761" w:themeFill="accent1" w:themeFillShade="BF"/>
          </w:tcPr>
          <w:p w14:paraId="0A79F690" w14:textId="77777777" w:rsidR="009C0E80" w:rsidRPr="000374DE" w:rsidRDefault="009C0E80" w:rsidP="00BF3250">
            <w:pPr>
              <w:rPr>
                <w:b/>
                <w:bCs/>
                <w:color w:val="FFFFFF" w:themeColor="background1"/>
              </w:rPr>
            </w:pPr>
            <w:r w:rsidRPr="000374DE">
              <w:rPr>
                <w:b/>
                <w:bCs/>
                <w:color w:val="FFFFFF" w:themeColor="background1"/>
              </w:rPr>
              <w:t>Measurements and Results</w:t>
            </w:r>
          </w:p>
        </w:tc>
        <w:tc>
          <w:tcPr>
            <w:tcW w:w="1301" w:type="dxa"/>
            <w:shd w:val="clear" w:color="auto" w:fill="FFD9D9"/>
          </w:tcPr>
          <w:p w14:paraId="03F4BB26" w14:textId="77777777" w:rsidR="009C0E80" w:rsidRPr="006B4B53" w:rsidRDefault="009C0E80" w:rsidP="00BF3250">
            <w:pPr>
              <w:rPr>
                <w:sz w:val="18"/>
                <w:szCs w:val="18"/>
              </w:rPr>
            </w:pPr>
            <w:r>
              <w:rPr>
                <w:sz w:val="18"/>
                <w:szCs w:val="18"/>
              </w:rPr>
              <w:t>Overall procurement spend-based carbon figure derived</w:t>
            </w:r>
          </w:p>
        </w:tc>
        <w:tc>
          <w:tcPr>
            <w:tcW w:w="1184" w:type="dxa"/>
            <w:shd w:val="clear" w:color="auto" w:fill="FFD9D9"/>
          </w:tcPr>
          <w:p w14:paraId="5EBC4332" w14:textId="77777777" w:rsidR="009C0E80" w:rsidRPr="006B4B53" w:rsidRDefault="009C0E80" w:rsidP="00BF3250">
            <w:pPr>
              <w:rPr>
                <w:sz w:val="18"/>
                <w:szCs w:val="18"/>
              </w:rPr>
            </w:pPr>
            <w:r>
              <w:rPr>
                <w:sz w:val="18"/>
                <w:szCs w:val="18"/>
              </w:rPr>
              <w:t>Carbon figure categorised by commodity area and supplier</w:t>
            </w:r>
          </w:p>
        </w:tc>
        <w:tc>
          <w:tcPr>
            <w:tcW w:w="1220" w:type="dxa"/>
            <w:shd w:val="clear" w:color="auto" w:fill="FFD9D9"/>
          </w:tcPr>
          <w:p w14:paraId="776ABD50" w14:textId="77777777" w:rsidR="009C0E80" w:rsidRPr="006B4B53" w:rsidRDefault="009C0E80" w:rsidP="00BF3250">
            <w:pPr>
              <w:rPr>
                <w:sz w:val="18"/>
                <w:szCs w:val="18"/>
              </w:rPr>
            </w:pPr>
            <w:r>
              <w:rPr>
                <w:sz w:val="18"/>
                <w:szCs w:val="18"/>
              </w:rPr>
              <w:t>Simple measures for achieving framework agreed</w:t>
            </w:r>
          </w:p>
        </w:tc>
        <w:tc>
          <w:tcPr>
            <w:tcW w:w="1301" w:type="dxa"/>
            <w:shd w:val="clear" w:color="auto" w:fill="FFD9D9"/>
          </w:tcPr>
          <w:p w14:paraId="54ED9255" w14:textId="6BD1DC65"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67456" behindDoc="0" locked="0" layoutInCell="1" allowOverlap="1" wp14:anchorId="04D0E590" wp14:editId="2227B515">
                      <wp:simplePos x="0" y="0"/>
                      <wp:positionH relativeFrom="column">
                        <wp:posOffset>-22860</wp:posOffset>
                      </wp:positionH>
                      <wp:positionV relativeFrom="paragraph">
                        <wp:posOffset>12700</wp:posOffset>
                      </wp:positionV>
                      <wp:extent cx="714375" cy="866775"/>
                      <wp:effectExtent l="0" t="0" r="28575" b="28575"/>
                      <wp:wrapNone/>
                      <wp:docPr id="339160061" name="Rectangle 2"/>
                      <wp:cNvGraphicFramePr/>
                      <a:graphic xmlns:a="http://schemas.openxmlformats.org/drawingml/2006/main">
                        <a:graphicData uri="http://schemas.microsoft.com/office/word/2010/wordprocessingShape">
                          <wps:wsp>
                            <wps:cNvSpPr/>
                            <wps:spPr>
                              <a:xfrm>
                                <a:off x="0" y="0"/>
                                <a:ext cx="714375" cy="866775"/>
                              </a:xfrm>
                              <a:prstGeom prst="rect">
                                <a:avLst/>
                              </a:prstGeom>
                              <a:noFill/>
                              <a:ln w="19050">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DD01B" id="Rectangle 2" o:spid="_x0000_s1026" style="position:absolute;margin-left:-1.8pt;margin-top:1pt;width:56.2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" filled="f" strokecolor="black [3213]" strokeweight="1.5pt"/>
                  </w:pict>
                </mc:Fallback>
              </mc:AlternateContent>
            </w:r>
            <w:r w:rsidR="009C0E80">
              <w:rPr>
                <w:sz w:val="18"/>
                <w:szCs w:val="18"/>
              </w:rPr>
              <w:t>Simple measures for achieving framework in practice</w:t>
            </w:r>
          </w:p>
        </w:tc>
        <w:tc>
          <w:tcPr>
            <w:tcW w:w="1173" w:type="dxa"/>
            <w:shd w:val="clear" w:color="auto" w:fill="FFD9D9"/>
          </w:tcPr>
          <w:p w14:paraId="3913B2DA" w14:textId="77777777" w:rsidR="009C0E80" w:rsidRPr="006B4B53" w:rsidRDefault="009C0E80" w:rsidP="00BF3250">
            <w:pPr>
              <w:rPr>
                <w:sz w:val="18"/>
                <w:szCs w:val="18"/>
              </w:rPr>
            </w:pPr>
            <w:r>
              <w:rPr>
                <w:sz w:val="18"/>
                <w:szCs w:val="18"/>
              </w:rPr>
              <w:t>Report Sustainable Procurement benefit statements.</w:t>
            </w:r>
          </w:p>
        </w:tc>
        <w:tc>
          <w:tcPr>
            <w:tcW w:w="1169" w:type="dxa"/>
            <w:shd w:val="clear" w:color="auto" w:fill="FFD9D9"/>
          </w:tcPr>
          <w:p w14:paraId="43C12538" w14:textId="16AD6BF0" w:rsidR="009C0E80" w:rsidRPr="006B4B53" w:rsidRDefault="007547C7" w:rsidP="00BF3250">
            <w:pPr>
              <w:rPr>
                <w:sz w:val="18"/>
                <w:szCs w:val="18"/>
              </w:rPr>
            </w:pPr>
            <w:r>
              <w:rPr>
                <w:b/>
                <w:bCs/>
                <w:noProof/>
                <w:color w:val="FFFFFF" w:themeColor="background1"/>
              </w:rPr>
              <mc:AlternateContent>
                <mc:Choice Requires="wps">
                  <w:drawing>
                    <wp:anchor distT="0" distB="0" distL="114300" distR="114300" simplePos="0" relativeHeight="251677696" behindDoc="0" locked="0" layoutInCell="1" allowOverlap="1" wp14:anchorId="087ED4F7" wp14:editId="590474A7">
                      <wp:simplePos x="0" y="0"/>
                      <wp:positionH relativeFrom="column">
                        <wp:posOffset>-47625</wp:posOffset>
                      </wp:positionH>
                      <wp:positionV relativeFrom="paragraph">
                        <wp:posOffset>12700</wp:posOffset>
                      </wp:positionV>
                      <wp:extent cx="638175" cy="866775"/>
                      <wp:effectExtent l="0" t="0" r="28575" b="28575"/>
                      <wp:wrapNone/>
                      <wp:docPr id="162079676" name="Rectangle 2"/>
                      <wp:cNvGraphicFramePr/>
                      <a:graphic xmlns:a="http://schemas.openxmlformats.org/drawingml/2006/main">
                        <a:graphicData uri="http://schemas.microsoft.com/office/word/2010/wordprocessingShape">
                          <wps:wsp>
                            <wps:cNvSpPr/>
                            <wps:spPr>
                              <a:xfrm>
                                <a:off x="0" y="0"/>
                                <a:ext cx="638175" cy="866775"/>
                              </a:xfrm>
                              <a:prstGeom prst="rect">
                                <a:avLst/>
                              </a:prstGeom>
                              <a:noFill/>
                              <a:ln w="19050">
                                <a:solidFill>
                                  <a:srgbClr val="FF0000"/>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3B76" id="Rectangle 2" o:spid="_x0000_s1026" style="position:absolute;margin-left:-3.75pt;margin-top:1pt;width:50.25pt;height:6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" filled="f" strokecolor="red" strokeweight="1.5pt"/>
                  </w:pict>
                </mc:Fallback>
              </mc:AlternateContent>
            </w:r>
            <w:r w:rsidR="009C0E80">
              <w:rPr>
                <w:sz w:val="18"/>
                <w:szCs w:val="18"/>
              </w:rPr>
              <w:t>Report Sustainable Procurement benefit case studies</w:t>
            </w:r>
          </w:p>
        </w:tc>
        <w:tc>
          <w:tcPr>
            <w:tcW w:w="1233" w:type="dxa"/>
            <w:shd w:val="clear" w:color="auto" w:fill="FFD9D9"/>
          </w:tcPr>
          <w:p w14:paraId="63BDAEE2" w14:textId="77777777" w:rsidR="009C0E80" w:rsidRPr="006B4B53" w:rsidRDefault="009C0E80" w:rsidP="00BF3250">
            <w:pPr>
              <w:rPr>
                <w:sz w:val="18"/>
                <w:szCs w:val="18"/>
              </w:rPr>
            </w:pPr>
            <w:r>
              <w:rPr>
                <w:sz w:val="18"/>
                <w:szCs w:val="18"/>
              </w:rPr>
              <w:t xml:space="preserve">Compare framework progress to other Universities. </w:t>
            </w:r>
          </w:p>
        </w:tc>
        <w:tc>
          <w:tcPr>
            <w:tcW w:w="1301" w:type="dxa"/>
            <w:shd w:val="clear" w:color="auto" w:fill="FFD9D9"/>
          </w:tcPr>
          <w:p w14:paraId="7EEAF043" w14:textId="77777777" w:rsidR="009C0E80" w:rsidRPr="006B4B53" w:rsidRDefault="009C0E80" w:rsidP="00BF3250">
            <w:pPr>
              <w:rPr>
                <w:sz w:val="18"/>
                <w:szCs w:val="18"/>
              </w:rPr>
            </w:pPr>
            <w:r>
              <w:rPr>
                <w:sz w:val="18"/>
                <w:szCs w:val="18"/>
              </w:rPr>
              <w:t>Balanced Scorecard produced addressing Strategy commitments</w:t>
            </w:r>
          </w:p>
        </w:tc>
        <w:tc>
          <w:tcPr>
            <w:tcW w:w="1301" w:type="dxa"/>
            <w:shd w:val="clear" w:color="auto" w:fill="FFD9D9"/>
          </w:tcPr>
          <w:p w14:paraId="16102437" w14:textId="77777777" w:rsidR="009C0E80" w:rsidRPr="006B4B53" w:rsidRDefault="009C0E80" w:rsidP="00BF3250">
            <w:pPr>
              <w:rPr>
                <w:sz w:val="18"/>
                <w:szCs w:val="18"/>
              </w:rPr>
            </w:pPr>
            <w:r>
              <w:rPr>
                <w:sz w:val="18"/>
                <w:szCs w:val="18"/>
              </w:rPr>
              <w:t>Sustainable procurement policy reviewed regularly. Benchmarking undertaken</w:t>
            </w:r>
          </w:p>
        </w:tc>
        <w:tc>
          <w:tcPr>
            <w:tcW w:w="1181" w:type="dxa"/>
            <w:shd w:val="clear" w:color="auto" w:fill="FFD9D9"/>
          </w:tcPr>
          <w:p w14:paraId="044A1EC9" w14:textId="77777777" w:rsidR="009C0E80" w:rsidRPr="006B4B53" w:rsidRDefault="009C0E80" w:rsidP="00BF3250">
            <w:pPr>
              <w:rPr>
                <w:sz w:val="18"/>
                <w:szCs w:val="18"/>
              </w:rPr>
            </w:pPr>
            <w:r>
              <w:rPr>
                <w:sz w:val="18"/>
                <w:szCs w:val="18"/>
              </w:rPr>
              <w:t>Independent audit on framework undertaken</w:t>
            </w:r>
          </w:p>
        </w:tc>
      </w:tr>
    </w:tbl>
    <w:p w14:paraId="7AEADB73" w14:textId="14A8841D" w:rsidR="009C0E80" w:rsidRDefault="009C0E80"/>
    <w:p w14:paraId="0125BFED" w14:textId="121CA94F" w:rsidR="009C0E80" w:rsidRDefault="009C0E80">
      <w:r>
        <w:t>At present, the University has achieved the following stages in the ten-point Flexible Framework:</w:t>
      </w:r>
    </w:p>
    <w:p w14:paraId="10159F25" w14:textId="07A33CAF" w:rsidR="009C0E80" w:rsidRDefault="009C0E80">
      <w:pPr>
        <w:rPr>
          <w:b/>
          <w:bCs/>
        </w:rPr>
      </w:pPr>
      <w:r>
        <w:rPr>
          <w:b/>
          <w:bCs/>
        </w:rPr>
        <w:t xml:space="preserve">People – Level 4: </w:t>
      </w:r>
      <w:r w:rsidRPr="0031025E">
        <w:rPr>
          <w:i/>
          <w:iCs/>
        </w:rPr>
        <w:t>All procurement staff have basic training in Sustainable Procurement principles</w:t>
      </w:r>
      <w:r w:rsidR="0031025E">
        <w:t xml:space="preserve"> – The team have completed LinkedIn and HEPA </w:t>
      </w:r>
      <w:proofErr w:type="gramStart"/>
      <w:r w:rsidR="0031025E">
        <w:t>training, and</w:t>
      </w:r>
      <w:proofErr w:type="gramEnd"/>
      <w:r w:rsidR="0031025E">
        <w:t xml:space="preserve"> are in the process of completing NETpositive training sessions.</w:t>
      </w:r>
    </w:p>
    <w:p w14:paraId="4B074888" w14:textId="37DE378C" w:rsidR="009C0E80" w:rsidRPr="0031025E" w:rsidRDefault="009C0E80">
      <w:r>
        <w:rPr>
          <w:b/>
          <w:bCs/>
        </w:rPr>
        <w:t>Policy, Strategy, and Communication – Level 3:</w:t>
      </w:r>
      <w:r w:rsidRPr="009C0E80">
        <w:rPr>
          <w:sz w:val="18"/>
          <w:szCs w:val="18"/>
        </w:rPr>
        <w:t xml:space="preserve"> </w:t>
      </w:r>
      <w:r w:rsidRPr="0031025E">
        <w:rPr>
          <w:i/>
          <w:iCs/>
        </w:rPr>
        <w:t>Dedicated Sustainable Procurement policy in place</w:t>
      </w:r>
      <w:r w:rsidR="0031025E">
        <w:rPr>
          <w:i/>
          <w:iCs/>
        </w:rPr>
        <w:t xml:space="preserve"> – </w:t>
      </w:r>
      <w:r w:rsidR="0031025E">
        <w:t xml:space="preserve">The team have created </w:t>
      </w:r>
      <w:r w:rsidR="00927B5E">
        <w:t>a sustainable procurement plan which has now been finalised and is in place awaiting publication.</w:t>
      </w:r>
    </w:p>
    <w:p w14:paraId="1A5CF0AF" w14:textId="39A24EDE" w:rsidR="009C0E80" w:rsidRPr="00927B5E" w:rsidRDefault="009C0E80">
      <w:pPr>
        <w:rPr>
          <w:b/>
          <w:bCs/>
        </w:rPr>
      </w:pPr>
      <w:r>
        <w:rPr>
          <w:b/>
          <w:bCs/>
        </w:rPr>
        <w:t xml:space="preserve">Procurement Process – Level 4: </w:t>
      </w:r>
      <w:r w:rsidRPr="00927B5E">
        <w:rPr>
          <w:i/>
          <w:iCs/>
        </w:rPr>
        <w:t>Value for money and Whole-Life Costing principles adopted</w:t>
      </w:r>
      <w:r w:rsidR="00927B5E">
        <w:rPr>
          <w:i/>
          <w:iCs/>
        </w:rPr>
        <w:t xml:space="preserve"> </w:t>
      </w:r>
      <w:r w:rsidR="002D33AA">
        <w:rPr>
          <w:i/>
          <w:iCs/>
        </w:rPr>
        <w:t>–</w:t>
      </w:r>
      <w:r w:rsidR="00927B5E">
        <w:rPr>
          <w:i/>
          <w:iCs/>
        </w:rPr>
        <w:t xml:space="preserve"> </w:t>
      </w:r>
      <w:r w:rsidR="002D33AA">
        <w:t>These principles have been adopted as laid out in the sustainable procurement plan.</w:t>
      </w:r>
    </w:p>
    <w:p w14:paraId="30F9A5F6" w14:textId="1FB852A2" w:rsidR="009C0E80" w:rsidRPr="002D33AA" w:rsidRDefault="009C0E80">
      <w:pPr>
        <w:rPr>
          <w:b/>
          <w:bCs/>
        </w:rPr>
      </w:pPr>
      <w:r>
        <w:rPr>
          <w:b/>
          <w:bCs/>
        </w:rPr>
        <w:lastRenderedPageBreak/>
        <w:t xml:space="preserve">Engaging Suppliers – Level 4: </w:t>
      </w:r>
      <w:r w:rsidRPr="002D33AA">
        <w:rPr>
          <w:i/>
          <w:iCs/>
        </w:rPr>
        <w:t>Supplier questionnaire includes detailed sustainability questions.</w:t>
      </w:r>
      <w:r w:rsidR="002D33AA">
        <w:rPr>
          <w:i/>
          <w:iCs/>
        </w:rPr>
        <w:t xml:space="preserve"> </w:t>
      </w:r>
      <w:r w:rsidR="00D36B69">
        <w:rPr>
          <w:i/>
          <w:iCs/>
        </w:rPr>
        <w:t>–</w:t>
      </w:r>
      <w:r w:rsidR="002D33AA">
        <w:rPr>
          <w:i/>
          <w:iCs/>
        </w:rPr>
        <w:t xml:space="preserve"> </w:t>
      </w:r>
      <w:r w:rsidR="00D36B69">
        <w:t>Through our collaboration with NETpositive, suppliers are asked very detailed questions across all areas of sustainability. Sustainability questions are also included in our own tendering process.</w:t>
      </w:r>
    </w:p>
    <w:p w14:paraId="46202EF0" w14:textId="0E0AEE01" w:rsidR="009C0E80" w:rsidRPr="00D36B69" w:rsidRDefault="009C0E80">
      <w:r>
        <w:rPr>
          <w:b/>
          <w:bCs/>
        </w:rPr>
        <w:t xml:space="preserve">Measurements and Results – Level 4: </w:t>
      </w:r>
      <w:r w:rsidRPr="00D36B69">
        <w:rPr>
          <w:i/>
          <w:iCs/>
        </w:rPr>
        <w:t>Simple measures for achieving framework in practice</w:t>
      </w:r>
      <w:r w:rsidR="00D36B69">
        <w:rPr>
          <w:i/>
          <w:iCs/>
        </w:rPr>
        <w:t xml:space="preserve">. – </w:t>
      </w:r>
      <w:r w:rsidR="00D36B69">
        <w:t>The team have been meeting regularly</w:t>
      </w:r>
      <w:r w:rsidR="00991DA4">
        <w:t>, formulating and completing actions to progress along the framework.</w:t>
      </w:r>
    </w:p>
    <w:p w14:paraId="253FFB4A" w14:textId="2C42CA31" w:rsidR="009C0E80" w:rsidRDefault="009C0E80" w:rsidP="009C0E80">
      <w:r>
        <w:t>Several key actions for advancement along the framework have been identified and are being pursued:</w:t>
      </w:r>
    </w:p>
    <w:p w14:paraId="32D2F49A" w14:textId="50EC6F21" w:rsidR="009C0E80" w:rsidRDefault="00DF3677" w:rsidP="009C0E80">
      <w:pPr>
        <w:pStyle w:val="ListParagraph"/>
        <w:numPr>
          <w:ilvl w:val="0"/>
          <w:numId w:val="1"/>
        </w:numPr>
      </w:pPr>
      <w:r>
        <w:t xml:space="preserve">Expand </w:t>
      </w:r>
      <w:r w:rsidR="009C0E80">
        <w:t>the current training to all staff involved in purchasing via online documents held with procurement.</w:t>
      </w:r>
      <w:r>
        <w:t xml:space="preserve"> Agree appropriate inclusion of sustainable procurement into appraisals for procurement staff. Include sustainable procurement as desirable in selection criteria for procurement staff.</w:t>
      </w:r>
    </w:p>
    <w:p w14:paraId="1D613169" w14:textId="6715BE00" w:rsidR="009C0E80" w:rsidRDefault="009C0E80" w:rsidP="009C0E80">
      <w:pPr>
        <w:pStyle w:val="ListParagraph"/>
        <w:numPr>
          <w:ilvl w:val="0"/>
          <w:numId w:val="1"/>
        </w:numPr>
      </w:pPr>
      <w:r>
        <w:t xml:space="preserve">Finalise and share the sustainable procurement plan, which includes the adoption of value for money and whole life cost principles, along with measurement and review, process integration, and supplier engagement. </w:t>
      </w:r>
    </w:p>
    <w:p w14:paraId="171564E4" w14:textId="46CF8ACC" w:rsidR="009C0E80" w:rsidRDefault="009C0E80" w:rsidP="009C0E80">
      <w:pPr>
        <w:pStyle w:val="ListParagraph"/>
        <w:numPr>
          <w:ilvl w:val="0"/>
          <w:numId w:val="1"/>
        </w:numPr>
      </w:pPr>
      <w:r>
        <w:t xml:space="preserve">Formalise a programme of supplier engagement using our priority supplier list filtered by impact, commodity and business size. </w:t>
      </w:r>
    </w:p>
    <w:p w14:paraId="5603B69D" w14:textId="19701AC9" w:rsidR="00DF3677" w:rsidRDefault="00DF3677" w:rsidP="00DF3677">
      <w:pPr>
        <w:pStyle w:val="ListParagraph"/>
        <w:numPr>
          <w:ilvl w:val="0"/>
          <w:numId w:val="1"/>
        </w:numPr>
      </w:pPr>
      <w:r>
        <w:t>Create sustainable procurement benefit case studies.</w:t>
      </w:r>
    </w:p>
    <w:p w14:paraId="4576520F" w14:textId="1DE74BC0" w:rsidR="00DF3677" w:rsidRDefault="00DF3677" w:rsidP="00DF3677">
      <w:r>
        <w:t>Completion of these actions would correspond to the following levels on the framework:</w:t>
      </w:r>
    </w:p>
    <w:p w14:paraId="4A9EBD1D" w14:textId="4A23CF8D" w:rsidR="00DF3677" w:rsidRDefault="00DF3677" w:rsidP="00DF3677">
      <w:pPr>
        <w:rPr>
          <w:b/>
          <w:bCs/>
        </w:rPr>
      </w:pPr>
      <w:r>
        <w:rPr>
          <w:b/>
          <w:bCs/>
        </w:rPr>
        <w:t xml:space="preserve">People – Level 7: </w:t>
      </w:r>
      <w:r w:rsidRPr="009C0E80">
        <w:t>All procurement staff have basic training in Sustainable Procurement principles</w:t>
      </w:r>
    </w:p>
    <w:p w14:paraId="46C9E20B" w14:textId="76F0EF3A" w:rsidR="00DF3677" w:rsidRPr="009C0E80" w:rsidRDefault="00DF3677" w:rsidP="00DF3677">
      <w:r>
        <w:rPr>
          <w:b/>
          <w:bCs/>
        </w:rPr>
        <w:t>Policy, Strategy, and Communication – Level 7:</w:t>
      </w:r>
      <w:r w:rsidRPr="009C0E80">
        <w:rPr>
          <w:sz w:val="18"/>
          <w:szCs w:val="18"/>
        </w:rPr>
        <w:t xml:space="preserve"> </w:t>
      </w:r>
      <w:r w:rsidRPr="009C0E80">
        <w:t>Dedicated Sustainable Procurement policy in place</w:t>
      </w:r>
    </w:p>
    <w:p w14:paraId="49F19809" w14:textId="3FDA37CC" w:rsidR="00DF3677" w:rsidRDefault="00DF3677" w:rsidP="00DF3677">
      <w:pPr>
        <w:rPr>
          <w:b/>
          <w:bCs/>
        </w:rPr>
      </w:pPr>
      <w:r>
        <w:rPr>
          <w:b/>
          <w:bCs/>
        </w:rPr>
        <w:t xml:space="preserve">Procurement Process – Level 6: </w:t>
      </w:r>
      <w:r w:rsidRPr="009C0E80">
        <w:t>Value for money and Whole-Life Costing principles adopted.</w:t>
      </w:r>
    </w:p>
    <w:p w14:paraId="54627B84" w14:textId="30287CB4" w:rsidR="00DF3677" w:rsidRDefault="00DF3677" w:rsidP="00DF3677">
      <w:pPr>
        <w:rPr>
          <w:b/>
          <w:bCs/>
        </w:rPr>
      </w:pPr>
      <w:r>
        <w:rPr>
          <w:b/>
          <w:bCs/>
        </w:rPr>
        <w:t xml:space="preserve">Engaging Suppliers – Level 6: </w:t>
      </w:r>
      <w:r w:rsidRPr="009C0E80">
        <w:t>Supplier questionnaire includes detailed sustainability questions.</w:t>
      </w:r>
    </w:p>
    <w:p w14:paraId="61296685" w14:textId="16B3A8F3" w:rsidR="00DF3677" w:rsidRPr="009C0E80" w:rsidRDefault="00DF3677" w:rsidP="00DF3677">
      <w:r>
        <w:rPr>
          <w:b/>
          <w:bCs/>
        </w:rPr>
        <w:t xml:space="preserve">Measurements and Results – Level 6: </w:t>
      </w:r>
      <w:r w:rsidRPr="009C0E80">
        <w:t>Simple measures for achieving framework in practice</w:t>
      </w:r>
    </w:p>
    <w:p w14:paraId="563D1667" w14:textId="5E8C0F06" w:rsidR="00DF3677" w:rsidRDefault="002450E1" w:rsidP="00DF3677">
      <w:r>
        <w:t xml:space="preserve">Once these measures are achieved, it is recommended that the University begin to transition back to the original 5-point Flexible Framework, at which point auditing and certification </w:t>
      </w:r>
      <w:r w:rsidR="00343DBD">
        <w:t xml:space="preserve">can begin to take place. </w:t>
      </w:r>
    </w:p>
    <w:p w14:paraId="3CB5FF8A" w14:textId="77777777" w:rsidR="009C0E80" w:rsidRPr="009C0E80" w:rsidRDefault="009C0E80" w:rsidP="00DF3677"/>
    <w:sectPr w:rsidR="009C0E80" w:rsidRPr="009C0E80" w:rsidSect="009C0E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FD6FDD"/>
    <w:multiLevelType w:val="hybridMultilevel"/>
    <w:tmpl w:val="9CD6529A"/>
    <w:lvl w:ilvl="0" w:tplc="E0D4D6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77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80"/>
    <w:rsid w:val="000C6189"/>
    <w:rsid w:val="002450E1"/>
    <w:rsid w:val="002B7677"/>
    <w:rsid w:val="002D33AA"/>
    <w:rsid w:val="0031025E"/>
    <w:rsid w:val="00343DBD"/>
    <w:rsid w:val="0051594B"/>
    <w:rsid w:val="00536EA2"/>
    <w:rsid w:val="005572F0"/>
    <w:rsid w:val="005E2E81"/>
    <w:rsid w:val="007547C7"/>
    <w:rsid w:val="00927B5E"/>
    <w:rsid w:val="00964634"/>
    <w:rsid w:val="00991DA4"/>
    <w:rsid w:val="009C0E80"/>
    <w:rsid w:val="00A8074A"/>
    <w:rsid w:val="00AB3E43"/>
    <w:rsid w:val="00D36B69"/>
    <w:rsid w:val="00DF3677"/>
    <w:rsid w:val="00F53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A8DD"/>
  <w15:chartTrackingRefBased/>
  <w15:docId w15:val="{F6F9323E-06AA-4B3A-859D-F09FF394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E80"/>
    <w:rPr>
      <w:rFonts w:eastAsiaTheme="majorEastAsia" w:cstheme="majorBidi"/>
      <w:color w:val="272727" w:themeColor="text1" w:themeTint="D8"/>
    </w:rPr>
  </w:style>
  <w:style w:type="paragraph" w:styleId="Title">
    <w:name w:val="Title"/>
    <w:basedOn w:val="Normal"/>
    <w:next w:val="Normal"/>
    <w:link w:val="TitleChar"/>
    <w:uiPriority w:val="10"/>
    <w:qFormat/>
    <w:rsid w:val="009C0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E80"/>
    <w:pPr>
      <w:spacing w:before="160"/>
      <w:jc w:val="center"/>
    </w:pPr>
    <w:rPr>
      <w:i/>
      <w:iCs/>
      <w:color w:val="404040" w:themeColor="text1" w:themeTint="BF"/>
    </w:rPr>
  </w:style>
  <w:style w:type="character" w:customStyle="1" w:styleId="QuoteChar">
    <w:name w:val="Quote Char"/>
    <w:basedOn w:val="DefaultParagraphFont"/>
    <w:link w:val="Quote"/>
    <w:uiPriority w:val="29"/>
    <w:rsid w:val="009C0E80"/>
    <w:rPr>
      <w:i/>
      <w:iCs/>
      <w:color w:val="404040" w:themeColor="text1" w:themeTint="BF"/>
    </w:rPr>
  </w:style>
  <w:style w:type="paragraph" w:styleId="ListParagraph">
    <w:name w:val="List Paragraph"/>
    <w:basedOn w:val="Normal"/>
    <w:uiPriority w:val="34"/>
    <w:qFormat/>
    <w:rsid w:val="009C0E80"/>
    <w:pPr>
      <w:ind w:left="720"/>
      <w:contextualSpacing/>
    </w:pPr>
  </w:style>
  <w:style w:type="character" w:styleId="IntenseEmphasis">
    <w:name w:val="Intense Emphasis"/>
    <w:basedOn w:val="DefaultParagraphFont"/>
    <w:uiPriority w:val="21"/>
    <w:qFormat/>
    <w:rsid w:val="009C0E80"/>
    <w:rPr>
      <w:i/>
      <w:iCs/>
      <w:color w:val="0F4761" w:themeColor="accent1" w:themeShade="BF"/>
    </w:rPr>
  </w:style>
  <w:style w:type="paragraph" w:styleId="IntenseQuote">
    <w:name w:val="Intense Quote"/>
    <w:basedOn w:val="Normal"/>
    <w:next w:val="Normal"/>
    <w:link w:val="IntenseQuoteChar"/>
    <w:uiPriority w:val="30"/>
    <w:qFormat/>
    <w:rsid w:val="009C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E80"/>
    <w:rPr>
      <w:i/>
      <w:iCs/>
      <w:color w:val="0F4761" w:themeColor="accent1" w:themeShade="BF"/>
    </w:rPr>
  </w:style>
  <w:style w:type="character" w:styleId="IntenseReference">
    <w:name w:val="Intense Reference"/>
    <w:basedOn w:val="DefaultParagraphFont"/>
    <w:uiPriority w:val="32"/>
    <w:qFormat/>
    <w:rsid w:val="009C0E80"/>
    <w:rPr>
      <w:b/>
      <w:bCs/>
      <w:smallCaps/>
      <w:color w:val="0F4761" w:themeColor="accent1" w:themeShade="BF"/>
      <w:spacing w:val="5"/>
    </w:rPr>
  </w:style>
  <w:style w:type="table" w:styleId="TableGrid">
    <w:name w:val="Table Grid"/>
    <w:basedOn w:val="TableNormal"/>
    <w:uiPriority w:val="39"/>
    <w:rsid w:val="009C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57</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Matthew (E&amp;F Utility &amp; Sust)</dc:creator>
  <cp:keywords/>
  <dc:description/>
  <cp:lastModifiedBy>Gibson, Matthew (E&amp;F Utility &amp; Sust)</cp:lastModifiedBy>
  <cp:revision>10</cp:revision>
  <dcterms:created xsi:type="dcterms:W3CDTF">2024-10-15T12:43:00Z</dcterms:created>
  <dcterms:modified xsi:type="dcterms:W3CDTF">2024-10-18T10:41:00Z</dcterms:modified>
</cp:coreProperties>
</file>