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360" w:after="280"/>
        <w:jc w:val="center"/>
        <w:rPr>
          <w:rFonts w:ascii="Gill Sans MT" w:hAnsi="Gill Sans MT"/>
          <w:b/>
          <w:b/>
          <w:bCs/>
          <w:color w:val="8496B0" w:themeColor="text2" w:themeTint="99"/>
          <w:sz w:val="28"/>
          <w:szCs w:val="28"/>
        </w:rPr>
      </w:pPr>
      <w:r>
        <w:rPr>
          <w:rFonts w:ascii="Gill Sans MT" w:hAnsi="Gill Sans MT"/>
          <w:b/>
          <w:bCs/>
          <w:color w:val="8496B0" w:themeColor="text2" w:themeTint="99"/>
          <w:sz w:val="28"/>
          <w:szCs w:val="28"/>
        </w:rPr>
        <w:t>National Roundtable Meetings</w:t>
      </w:r>
    </w:p>
    <w:p>
      <w:pPr>
        <w:pStyle w:val="NormalWeb"/>
        <w:spacing w:lineRule="atLeast" w:line="23" w:beforeAutospacing="0" w:before="120" w:afterAutospacing="0" w:after="0"/>
        <w:jc w:val="center"/>
        <w:rPr>
          <w:rFonts w:ascii="Gill Sans MT" w:hAnsi="Gill Sans MT"/>
          <w:b/>
          <w:b/>
          <w:bCs/>
          <w:color w:val="002060"/>
        </w:rPr>
      </w:pPr>
      <w:r>
        <w:rPr>
          <w:rFonts w:ascii="Gill Sans MT" w:hAnsi="Gill Sans MT"/>
          <w:b/>
          <w:bCs/>
          <w:color w:val="002060"/>
        </w:rPr>
        <w:t>Motivating Local and National Action to Reduce Plastic Pollution</w:t>
      </w:r>
    </w:p>
    <w:p>
      <w:pPr>
        <w:pStyle w:val="NormalWeb"/>
        <w:spacing w:lineRule="atLeast" w:line="23" w:beforeAutospacing="0" w:before="120" w:afterAutospacing="0" w:after="0"/>
        <w:jc w:val="both"/>
        <w:rPr>
          <w:rFonts w:ascii="Gill Sans MT" w:hAnsi="Gill Sans MT"/>
        </w:rPr>
      </w:pPr>
      <w:r>
        <w:rPr>
          <w:rFonts w:ascii="Gill Sans MT" w:hAnsi="Gill Sans MT"/>
        </w:rPr>
        <w:t xml:space="preserve">Achieving effective plastic pollution governance calls for informed engagement of a diverse range of stakeholders, including academia, government, industry, civil society organisations and communities. This would help towards building a shared vision and understanding among the stakeholders. Against this backdrop, the University of Nairobi and University of Surrey in collaboration with project partners in Ethiopia, Jamaica, Kenya, Malawi, Rwanda, Tanzania and Uganda will organize national roundtable meetings on plastic pollution governance. The roundtables are expected to pull national stakeholders and present case studies findings with the emphasis on recommendations for governance. This would enhance knowledge on plastic pollution governance and build a common understanding </w:t>
      </w:r>
      <w:bookmarkStart w:id="0" w:name="_Hlk78728405"/>
      <w:r>
        <w:rPr>
          <w:rFonts w:ascii="Gill Sans MT" w:hAnsi="Gill Sans MT"/>
        </w:rPr>
        <w:t>towards an effective and harmonized plastic pollution governance framework among the stakeholders</w:t>
      </w:r>
      <w:bookmarkEnd w:id="0"/>
      <w:r>
        <w:rPr>
          <w:rFonts w:ascii="Gill Sans MT" w:hAnsi="Gill Sans MT"/>
        </w:rPr>
        <w:t>. The roundtables would</w:t>
      </w:r>
      <w:bookmarkStart w:id="1" w:name="_GoBack"/>
      <w:bookmarkEnd w:id="1"/>
      <w:r>
        <w:rPr>
          <w:rFonts w:ascii="Gill Sans MT" w:hAnsi="Gill Sans MT"/>
        </w:rPr>
        <w:t xml:space="preserve"> also provide a platform to build a consensus for policy action. The roundtables would be facilitated by policy briefs developed from the partner’ case study reports. </w:t>
      </w:r>
    </w:p>
    <w:p>
      <w:pPr>
        <w:pStyle w:val="NormalWeb"/>
        <w:spacing w:lineRule="atLeast" w:line="23" w:before="280" w:after="280"/>
        <w:jc w:val="both"/>
        <w:rPr>
          <w:rFonts w:ascii="Gill Sans MT" w:hAnsi="Gill Sans MT"/>
          <w:b/>
          <w:b/>
          <w:bCs/>
        </w:rPr>
      </w:pPr>
      <w:r>
        <w:rPr>
          <w:rFonts w:ascii="Gill Sans MT" w:hAnsi="Gill Sans MT"/>
          <w:b/>
          <w:bCs/>
        </w:rPr>
        <w:t>Purpose and objectives</w:t>
      </w:r>
    </w:p>
    <w:p>
      <w:pPr>
        <w:pStyle w:val="Default"/>
        <w:spacing w:lineRule="atLeast" w:line="23" w:before="120" w:after="0"/>
        <w:jc w:val="both"/>
        <w:rPr>
          <w:rFonts w:ascii="Gill Sans MT" w:hAnsi="Gill Sans MT" w:cs="Times New Roman"/>
          <w:lang w:val="en-GB"/>
        </w:rPr>
      </w:pPr>
      <w:r>
        <w:rPr>
          <w:rFonts w:cs="Times New Roman" w:ascii="Gill Sans MT" w:hAnsi="Gill Sans MT"/>
          <w:lang w:val="en-GB"/>
        </w:rPr>
        <w:t xml:space="preserve">The national roundtable meetings aim to enhance knowledge on plastic pollution governance and build a common understanding towards an effective plastic pollution governance framework among the stakeholders. The key objectives of the national roundtables are: </w:t>
      </w:r>
    </w:p>
    <w:p>
      <w:pPr>
        <w:pStyle w:val="Default"/>
        <w:numPr>
          <w:ilvl w:val="0"/>
          <w:numId w:val="1"/>
        </w:numPr>
        <w:spacing w:lineRule="atLeast" w:line="23" w:before="120" w:after="0"/>
        <w:jc w:val="both"/>
        <w:rPr>
          <w:rFonts w:ascii="Gill Sans MT" w:hAnsi="Gill Sans MT" w:cs="Times New Roman"/>
          <w:lang w:val="en-GB"/>
        </w:rPr>
      </w:pPr>
      <w:r>
        <w:rPr>
          <w:rFonts w:cs="Times New Roman" w:ascii="Gill Sans MT" w:hAnsi="Gill Sans MT"/>
          <w:lang w:val="en-GB"/>
        </w:rPr>
        <w:t>To disseminate the key findings of the case study research on the intersection between communication processes and plastic pollution governance;</w:t>
      </w:r>
    </w:p>
    <w:p>
      <w:pPr>
        <w:pStyle w:val="Default"/>
        <w:numPr>
          <w:ilvl w:val="0"/>
          <w:numId w:val="1"/>
        </w:numPr>
        <w:spacing w:lineRule="atLeast" w:line="23" w:before="120" w:after="0"/>
        <w:jc w:val="both"/>
        <w:rPr>
          <w:rFonts w:ascii="Gill Sans MT" w:hAnsi="Gill Sans MT" w:cs="Times New Roman"/>
          <w:lang w:val="en-GB"/>
        </w:rPr>
      </w:pPr>
      <w:r>
        <w:rPr>
          <w:rFonts w:cs="Times New Roman" w:ascii="Gill Sans MT" w:hAnsi="Gill Sans MT"/>
          <w:lang w:val="en-GB"/>
        </w:rPr>
        <w:t>To initiate a policy dialogue for the national stakeholders to share experiences and develop a road map for plastic pollution governance;</w:t>
      </w:r>
    </w:p>
    <w:p>
      <w:pPr>
        <w:pStyle w:val="Default"/>
        <w:numPr>
          <w:ilvl w:val="0"/>
          <w:numId w:val="1"/>
        </w:numPr>
        <w:spacing w:lineRule="atLeast" w:line="23" w:before="120" w:after="0"/>
        <w:jc w:val="both"/>
        <w:rPr>
          <w:rFonts w:ascii="Gill Sans MT" w:hAnsi="Gill Sans MT" w:cs="Times New Roman"/>
          <w:lang w:val="en-GB"/>
        </w:rPr>
      </w:pPr>
      <w:r>
        <w:rPr>
          <w:rFonts w:cs="Times New Roman" w:ascii="Gill Sans MT" w:hAnsi="Gill Sans MT"/>
          <w:lang w:val="en-GB"/>
        </w:rPr>
        <w:t>To strengthen networking among partners and stakeholders.</w:t>
      </w:r>
    </w:p>
    <w:p>
      <w:pPr>
        <w:pStyle w:val="Default"/>
        <w:spacing w:lineRule="atLeast" w:line="23" w:beforeAutospacing="1" w:afterAutospacing="1"/>
        <w:jc w:val="both"/>
        <w:rPr>
          <w:rFonts w:ascii="Gill Sans MT" w:hAnsi="Gill Sans MT" w:cs="Times New Roman"/>
          <w:b/>
          <w:b/>
          <w:bCs/>
          <w:color w:val="000000" w:themeColor="text1"/>
        </w:rPr>
      </w:pPr>
      <w:r>
        <w:rPr>
          <w:rFonts w:cs="Times New Roman" w:ascii="Gill Sans MT" w:hAnsi="Gill Sans MT"/>
          <w:b/>
          <w:bCs/>
          <w:color w:val="000000" w:themeColor="text1"/>
        </w:rPr>
        <w:t>Outputs:</w:t>
      </w:r>
      <w:bookmarkStart w:id="2" w:name="_Hlk78964982"/>
      <w:bookmarkEnd w:id="2"/>
    </w:p>
    <w:p>
      <w:pPr>
        <w:pStyle w:val="Default"/>
        <w:numPr>
          <w:ilvl w:val="0"/>
          <w:numId w:val="2"/>
        </w:numPr>
        <w:spacing w:lineRule="atLeast" w:line="23" w:before="120" w:after="0"/>
        <w:jc w:val="both"/>
        <w:rPr>
          <w:rFonts w:ascii="Gill Sans MT" w:hAnsi="Gill Sans MT"/>
        </w:rPr>
      </w:pPr>
      <w:r>
        <w:rPr>
          <w:rFonts w:ascii="Gill Sans MT" w:hAnsi="Gill Sans MT"/>
        </w:rPr>
        <w:t xml:space="preserve">Information, ideas and experiences acquired and shared on plastic governance; </w:t>
      </w:r>
    </w:p>
    <w:p>
      <w:pPr>
        <w:pStyle w:val="Default"/>
        <w:numPr>
          <w:ilvl w:val="0"/>
          <w:numId w:val="2"/>
        </w:numPr>
        <w:spacing w:lineRule="atLeast" w:line="23" w:before="120" w:after="0"/>
        <w:jc w:val="both"/>
        <w:rPr>
          <w:rFonts w:ascii="Gill Sans MT" w:hAnsi="Gill Sans MT"/>
        </w:rPr>
      </w:pPr>
      <w:r>
        <w:rPr>
          <w:rFonts w:ascii="Gill Sans MT" w:hAnsi="Gill Sans MT"/>
        </w:rPr>
        <w:t xml:space="preserve">A clear and practical recommendations agreed upon to guide the development roadmap for plastic pollution governance; </w:t>
      </w:r>
    </w:p>
    <w:p>
      <w:pPr>
        <w:pStyle w:val="Default"/>
        <w:numPr>
          <w:ilvl w:val="0"/>
          <w:numId w:val="2"/>
        </w:numPr>
        <w:spacing w:lineRule="atLeast" w:line="23" w:before="120" w:after="0"/>
        <w:jc w:val="both"/>
        <w:rPr>
          <w:rFonts w:ascii="Gill Sans MT" w:hAnsi="Gill Sans MT"/>
        </w:rPr>
      </w:pPr>
      <w:r>
        <w:rPr>
          <w:rFonts w:ascii="Gill Sans MT" w:hAnsi="Gill Sans MT"/>
        </w:rPr>
        <w:t>Improved cooperation and networking among potential partners and stakeholders in the development and implementation of plastic management strategies.</w:t>
      </w:r>
    </w:p>
    <w:p>
      <w:pPr>
        <w:pStyle w:val="Default"/>
        <w:spacing w:lineRule="atLeast" w:line="23" w:beforeAutospacing="1" w:afterAutospacing="1"/>
        <w:jc w:val="both"/>
        <w:rPr>
          <w:rFonts w:ascii="Gill Sans MT" w:hAnsi="Gill Sans MT" w:cs="Times New Roman"/>
          <w:b/>
          <w:b/>
          <w:bCs/>
          <w:color w:val="000000" w:themeColor="text1"/>
        </w:rPr>
      </w:pPr>
      <w:r>
        <w:rPr>
          <w:rFonts w:cs="Times New Roman" w:ascii="Gill Sans MT" w:hAnsi="Gill Sans MT"/>
          <w:b/>
          <w:bCs/>
          <w:color w:val="000000" w:themeColor="text1"/>
        </w:rPr>
        <w:t>Calendar for Roundtables</w:t>
      </w:r>
    </w:p>
    <w:p>
      <w:pPr>
        <w:pStyle w:val="Normal"/>
        <w:spacing w:lineRule="auto" w:line="276" w:before="0" w:after="120"/>
        <w:jc w:val="both"/>
        <w:rPr>
          <w:rFonts w:ascii="Gill Sans MT" w:hAnsi="Gill Sans MT" w:eastAsia="Calibri" w:cs="Arial"/>
          <w:sz w:val="24"/>
          <w:szCs w:val="24"/>
          <w:lang w:val="en-US"/>
        </w:rPr>
      </w:pPr>
      <w:r>
        <w:rPr>
          <w:rFonts w:eastAsia="Calibri" w:cs="Arial" w:ascii="Gill Sans MT" w:hAnsi="Gill Sans MT"/>
          <w:sz w:val="24"/>
          <w:szCs w:val="24"/>
          <w:lang w:val="en-US"/>
        </w:rPr>
        <w:t xml:space="preserve">Project partners will convene the national roundtables on the dates specified below. </w:t>
      </w:r>
    </w:p>
    <w:tbl>
      <w:tblPr>
        <w:tblStyle w:val="TableGrid"/>
        <w:tblW w:w="3735" w:type="dxa"/>
        <w:jc w:val="left"/>
        <w:tblInd w:w="865" w:type="dxa"/>
        <w:tblCellMar>
          <w:top w:w="0" w:type="dxa"/>
          <w:left w:w="108" w:type="dxa"/>
          <w:bottom w:w="0" w:type="dxa"/>
          <w:right w:w="108" w:type="dxa"/>
        </w:tblCellMar>
        <w:tblLook w:noVBand="1" w:val="04a0" w:noHBand="0" w:lastColumn="0" w:firstColumn="1" w:lastRow="0" w:firstRow="1"/>
      </w:tblPr>
      <w:tblGrid>
        <w:gridCol w:w="1440"/>
        <w:gridCol w:w="2295"/>
      </w:tblGrid>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Kenya</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11</w:t>
            </w:r>
            <w:r>
              <w:rPr>
                <w:rFonts w:eastAsia="Calibri" w:cs="Arial" w:ascii="Gill Sans MT" w:hAnsi="Gill Sans MT"/>
                <w:sz w:val="24"/>
                <w:szCs w:val="24"/>
                <w:vertAlign w:val="superscript"/>
                <w:lang w:val="en-US"/>
              </w:rPr>
              <w:t>th</w:t>
            </w:r>
            <w:r>
              <w:rPr>
                <w:rFonts w:eastAsia="Calibri" w:cs="Arial" w:ascii="Gill Sans MT" w:hAnsi="Gill Sans MT"/>
                <w:sz w:val="24"/>
                <w:szCs w:val="24"/>
                <w:lang w:val="en-US"/>
              </w:rPr>
              <w:t xml:space="preserve"> August 2021</w:t>
            </w:r>
          </w:p>
        </w:tc>
      </w:tr>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Jamaica</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15</w:t>
            </w:r>
            <w:r>
              <w:rPr>
                <w:rFonts w:eastAsia="Calibri" w:cs="Arial" w:ascii="Gill Sans MT" w:hAnsi="Gill Sans MT"/>
                <w:sz w:val="24"/>
                <w:szCs w:val="24"/>
                <w:vertAlign w:val="superscript"/>
                <w:lang w:val="en-US"/>
              </w:rPr>
              <w:t>th</w:t>
            </w:r>
            <w:r>
              <w:rPr>
                <w:rFonts w:eastAsia="Calibri" w:cs="Arial" w:ascii="Gill Sans MT" w:hAnsi="Gill Sans MT"/>
                <w:sz w:val="24"/>
                <w:szCs w:val="24"/>
                <w:lang w:val="en-US"/>
              </w:rPr>
              <w:t xml:space="preserve"> September</w:t>
            </w:r>
          </w:p>
        </w:tc>
      </w:tr>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Rwanda</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29</w:t>
            </w:r>
            <w:r>
              <w:rPr>
                <w:rFonts w:eastAsia="Calibri" w:cs="Arial" w:ascii="Gill Sans MT" w:hAnsi="Gill Sans MT"/>
                <w:sz w:val="24"/>
                <w:szCs w:val="24"/>
                <w:vertAlign w:val="superscript"/>
                <w:lang w:val="en-US"/>
              </w:rPr>
              <w:t>th</w:t>
            </w:r>
            <w:r>
              <w:rPr>
                <w:rFonts w:eastAsia="Calibri" w:cs="Arial" w:ascii="Gill Sans MT" w:hAnsi="Gill Sans MT"/>
                <w:sz w:val="24"/>
                <w:szCs w:val="24"/>
                <w:lang w:val="en-US"/>
              </w:rPr>
              <w:t xml:space="preserve"> September</w:t>
            </w:r>
          </w:p>
        </w:tc>
      </w:tr>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Uganda</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13</w:t>
            </w:r>
            <w:r>
              <w:rPr>
                <w:rFonts w:eastAsia="Calibri" w:cs="Arial" w:ascii="Gill Sans MT" w:hAnsi="Gill Sans MT"/>
                <w:sz w:val="24"/>
                <w:szCs w:val="24"/>
                <w:vertAlign w:val="superscript"/>
                <w:lang w:val="en-US"/>
              </w:rPr>
              <w:t>th</w:t>
            </w:r>
            <w:r>
              <w:rPr>
                <w:rFonts w:eastAsia="Calibri" w:cs="Arial" w:ascii="Gill Sans MT" w:hAnsi="Gill Sans MT"/>
                <w:sz w:val="24"/>
                <w:szCs w:val="24"/>
                <w:lang w:val="en-US"/>
              </w:rPr>
              <w:t xml:space="preserve"> October</w:t>
            </w:r>
          </w:p>
        </w:tc>
      </w:tr>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lang w:val="en-US"/>
              </w:rPr>
              <w:t>Malawi</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lang w:val="en-US"/>
              </w:rPr>
              <w:t>3rd November</w:t>
            </w:r>
          </w:p>
        </w:tc>
      </w:tr>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rFonts w:eastAsia="Calibri" w:cs="Arial" w:ascii="Gill Sans MT" w:hAnsi="Gill Sans MT"/>
                <w:sz w:val="24"/>
                <w:szCs w:val="24"/>
                <w:lang w:val="en-US"/>
              </w:rPr>
              <w:t>Ethiopia</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eastAsiaTheme="minorHAnsi"/>
                <w:color w:val="auto"/>
                <w:kern w:val="0"/>
                <w:sz w:val="24"/>
                <w:szCs w:val="24"/>
                <w:lang w:val="en-US" w:eastAsia="en-US" w:bidi="ar-SA"/>
              </w:rPr>
            </w:pPr>
            <w:r>
              <w:rPr>
                <w:rFonts w:eastAsia="Calibri" w:cs="Arial" w:ascii="Gill Sans MT" w:hAnsi="Gill Sans MT" w:eastAsiaTheme="minorHAnsi"/>
                <w:color w:val="auto"/>
                <w:kern w:val="0"/>
                <w:sz w:val="24"/>
                <w:szCs w:val="24"/>
                <w:lang w:val="en-US" w:eastAsia="en-US" w:bidi="ar-SA"/>
              </w:rPr>
              <w:t>24th November</w:t>
            </w:r>
          </w:p>
        </w:tc>
      </w:tr>
      <w:tr>
        <w:trPr/>
        <w:tc>
          <w:tcPr>
            <w:tcW w:w="1440"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lang w:val="en-US"/>
              </w:rPr>
              <w:t>Tanzania</w:t>
            </w:r>
          </w:p>
        </w:tc>
        <w:tc>
          <w:tcPr>
            <w:tcW w:w="2295" w:type="dxa"/>
            <w:tcBorders>
              <w:top w:val="nil"/>
              <w:left w:val="nil"/>
              <w:bottom w:val="nil"/>
              <w:right w:val="nil"/>
            </w:tcBorders>
          </w:tcPr>
          <w:p>
            <w:pPr>
              <w:pStyle w:val="Normal"/>
              <w:spacing w:lineRule="auto" w:line="240" w:before="0" w:after="120"/>
              <w:jc w:val="both"/>
              <w:rPr>
                <w:rFonts w:ascii="Gill Sans MT" w:hAnsi="Gill Sans MT" w:eastAsia="Calibri" w:cs="Arial"/>
                <w:sz w:val="24"/>
                <w:szCs w:val="24"/>
              </w:rPr>
            </w:pPr>
            <w:r>
              <w:rPr>
                <w:lang w:val="en-US"/>
              </w:rPr>
              <w:t>TBA</w:t>
            </w:r>
          </w:p>
        </w:tc>
      </w:tr>
    </w:tbl>
    <w:p>
      <w:pPr>
        <w:pStyle w:val="Normal"/>
        <w:rPr>
          <w:rFonts w:ascii="Gill Sans MT" w:hAnsi="Gill Sans MT" w:eastAsia="Calibri" w:cs="Garamond"/>
          <w:color w:val="000000"/>
          <w:sz w:val="24"/>
          <w:szCs w:val="24"/>
          <w:lang w:val="en-US"/>
        </w:rPr>
      </w:pPr>
      <w:r>
        <w:rPr>
          <w:rFonts w:eastAsia="Calibri" w:cs="Garamond" w:ascii="Gill Sans MT" w:hAnsi="Gill Sans MT"/>
          <w:color w:val="000000"/>
          <w:sz w:val="24"/>
          <w:szCs w:val="24"/>
          <w:lang w:val="en-US"/>
        </w:rPr>
      </w:r>
    </w:p>
    <w:p>
      <w:pPr>
        <w:pStyle w:val="Default"/>
        <w:spacing w:lineRule="atLeast" w:line="23" w:before="120" w:after="0"/>
        <w:jc w:val="both"/>
        <w:rPr>
          <w:rFonts w:ascii="Gill Sans MT" w:hAnsi="Gill Sans MT"/>
          <w:b/>
          <w:b/>
        </w:rPr>
      </w:pPr>
      <w:r>
        <w:rPr>
          <w:rFonts w:ascii="Gill Sans MT" w:hAnsi="Gill Sans MT"/>
          <w:b/>
        </w:rPr>
        <w:t>Programme</w:t>
      </w:r>
    </w:p>
    <w:tbl>
      <w:tblPr>
        <w:tblW w:w="9247" w:type="dxa"/>
        <w:jc w:val="left"/>
        <w:tblInd w:w="0" w:type="dxa"/>
        <w:tblCellMar>
          <w:top w:w="0" w:type="dxa"/>
          <w:left w:w="108" w:type="dxa"/>
          <w:bottom w:w="0" w:type="dxa"/>
          <w:right w:w="108" w:type="dxa"/>
        </w:tblCellMar>
        <w:tblLook w:noVBand="1" w:val="0400" w:noHBand="0" w:lastColumn="0" w:firstColumn="0" w:lastRow="0" w:firstRow="0"/>
      </w:tblPr>
      <w:tblGrid>
        <w:gridCol w:w="1687"/>
        <w:gridCol w:w="7559"/>
      </w:tblGrid>
      <w:tr>
        <w:trPr/>
        <w:tc>
          <w:tcPr>
            <w:tcW w:w="1687" w:type="dxa"/>
            <w:tcBorders>
              <w:top w:val="single" w:sz="18" w:space="0" w:color="FFFFFF"/>
              <w:left w:val="single" w:sz="18" w:space="0" w:color="FFFFFF"/>
              <w:bottom w:val="single" w:sz="18" w:space="0" w:color="FFFFFF"/>
              <w:right w:val="single" w:sz="18" w:space="0" w:color="FFFFFF"/>
            </w:tcBorders>
            <w:shd w:color="auto" w:fill="636362" w:val="clear"/>
          </w:tcPr>
          <w:p>
            <w:pPr>
              <w:pStyle w:val="Normal"/>
              <w:spacing w:lineRule="atLeast" w:line="23" w:before="120" w:after="0"/>
              <w:jc w:val="both"/>
              <w:rPr>
                <w:rFonts w:ascii="Gill Sans MT" w:hAnsi="Gill Sans MT" w:eastAsia="Calibri" w:cs="Calibri"/>
                <w:b/>
                <w:b/>
                <w:color w:val="FFFFFF"/>
                <w:lang w:val="de-DE"/>
              </w:rPr>
            </w:pPr>
            <w:r>
              <w:rPr>
                <w:rFonts w:eastAsia="Calibri" w:cs="Calibri" w:ascii="Gill Sans MT" w:hAnsi="Gill Sans MT"/>
                <w:b/>
                <w:color w:val="FFFFFF"/>
                <w:lang w:val="de-DE"/>
              </w:rPr>
              <w:t xml:space="preserve">Time EAT </w:t>
            </w:r>
          </w:p>
        </w:tc>
        <w:tc>
          <w:tcPr>
            <w:tcW w:w="7559" w:type="dxa"/>
            <w:tcBorders>
              <w:top w:val="single" w:sz="18" w:space="0" w:color="FFFFFF"/>
              <w:left w:val="single" w:sz="18" w:space="0" w:color="FFFFFF"/>
              <w:bottom w:val="single" w:sz="18" w:space="0" w:color="FFFFFF"/>
              <w:right w:val="single" w:sz="18" w:space="0" w:color="FFFFFF"/>
            </w:tcBorders>
            <w:shd w:color="auto" w:fill="636362" w:val="clear"/>
          </w:tcPr>
          <w:p>
            <w:pPr>
              <w:pStyle w:val="Normal"/>
              <w:spacing w:lineRule="atLeast" w:line="23" w:before="120" w:after="0"/>
              <w:jc w:val="both"/>
              <w:rPr>
                <w:rFonts w:ascii="Gill Sans MT" w:hAnsi="Gill Sans MT" w:eastAsia="Calibri" w:cs="Calibri"/>
                <w:b/>
                <w:b/>
                <w:color w:val="FFFFFF"/>
                <w:lang w:val="de-DE"/>
              </w:rPr>
            </w:pPr>
            <w:r>
              <w:rPr>
                <w:rFonts w:eastAsia="Calibri" w:cs="Calibri" w:ascii="Gill Sans MT" w:hAnsi="Gill Sans MT"/>
                <w:b/>
                <w:color w:val="FFFFFF"/>
                <w:lang w:val="de-DE"/>
              </w:rPr>
              <w:t>Session</w:t>
            </w:r>
          </w:p>
        </w:tc>
      </w:tr>
      <w:tr>
        <w:trPr>
          <w:trHeight w:val="414" w:hRule="atLeast"/>
        </w:trPr>
        <w:tc>
          <w:tcPr>
            <w:tcW w:w="1687" w:type="dxa"/>
            <w:tcBorders>
              <w:top w:val="single" w:sz="18" w:space="0" w:color="FFFFFF"/>
              <w:left w:val="single" w:sz="18" w:space="0" w:color="FFFFFF"/>
              <w:bottom w:val="single" w:sz="18" w:space="0" w:color="FFFFFF"/>
              <w:right w:val="single" w:sz="18" w:space="0" w:color="FFFFFF"/>
            </w:tcBorders>
            <w:shd w:color="auto" w:fill="DAF1F5"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 xml:space="preserve">16:15 – 16.30 </w:t>
            </w:r>
          </w:p>
        </w:tc>
        <w:tc>
          <w:tcPr>
            <w:tcW w:w="7559" w:type="dxa"/>
            <w:tcBorders>
              <w:top w:val="single" w:sz="18" w:space="0" w:color="FFFFFF"/>
              <w:left w:val="single" w:sz="18" w:space="0" w:color="FFFFFF"/>
              <w:bottom w:val="single" w:sz="18" w:space="0" w:color="FFFFFF"/>
              <w:right w:val="single" w:sz="18" w:space="0" w:color="FFFFFF"/>
            </w:tcBorders>
            <w:shd w:color="auto" w:fill="DAF1F5"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Online arrival and sound-check</w:t>
            </w:r>
          </w:p>
        </w:tc>
      </w:tr>
      <w:tr>
        <w:trPr>
          <w:trHeight w:val="1449" w:hRule="atLeast"/>
        </w:trPr>
        <w:tc>
          <w:tcPr>
            <w:tcW w:w="1687"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16.30 – 16.45</w:t>
            </w:r>
          </w:p>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r>
          </w:p>
          <w:p>
            <w:pPr>
              <w:pStyle w:val="Normal"/>
              <w:spacing w:lineRule="atLeast" w:line="23" w:before="120" w:after="0"/>
              <w:jc w:val="both"/>
              <w:rPr>
                <w:rFonts w:ascii="Gill Sans MT" w:hAnsi="Gill Sans MT" w:eastAsia="Calibri" w:cs="Calibri"/>
                <w:color w:val="000000"/>
                <w:lang w:val="de-DE"/>
              </w:rPr>
            </w:pPr>
            <w:r>
              <w:rPr>
                <w:rFonts w:eastAsia="Calibri" w:cs="Calibri" w:ascii="Gill Sans MT" w:hAnsi="Gill Sans MT"/>
                <w:color w:val="000000"/>
                <w:lang w:val="de-DE"/>
              </w:rPr>
            </w:r>
          </w:p>
        </w:tc>
        <w:tc>
          <w:tcPr>
            <w:tcW w:w="7559"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Introduction &amp; opening remarks</w:t>
            </w:r>
          </w:p>
          <w:p>
            <w:pPr>
              <w:pStyle w:val="Normal"/>
              <w:numPr>
                <w:ilvl w:val="0"/>
                <w:numId w:val="4"/>
              </w:numPr>
              <w:spacing w:lineRule="atLeast" w:line="23" w:before="120" w:after="0"/>
              <w:jc w:val="both"/>
              <w:rPr>
                <w:rFonts w:ascii="Gill Sans MT" w:hAnsi="Gill Sans MT" w:eastAsia="Calibri" w:cs="Calibri"/>
                <w:color w:val="000000"/>
                <w:lang w:val="de-DE"/>
              </w:rPr>
            </w:pPr>
            <w:r>
              <w:rPr>
                <w:rFonts w:eastAsia="Calibri" w:cs="Calibri" w:ascii="Gill Sans MT" w:hAnsi="Gill Sans MT"/>
                <w:color w:val="000000"/>
                <w:lang w:val="de-DE"/>
              </w:rPr>
              <w:t xml:space="preserve">Welcoming remarks </w:t>
            </w:r>
          </w:p>
          <w:p>
            <w:pPr>
              <w:pStyle w:val="Normal"/>
              <w:numPr>
                <w:ilvl w:val="0"/>
                <w:numId w:val="4"/>
              </w:numPr>
              <w:spacing w:lineRule="atLeast" w:line="23" w:before="120" w:after="0"/>
              <w:jc w:val="both"/>
              <w:rPr>
                <w:rFonts w:ascii="Gill Sans MT" w:hAnsi="Gill Sans MT" w:eastAsia="Calibri" w:cs="Calibri"/>
                <w:color w:val="000000"/>
                <w:lang w:val="de-DE"/>
              </w:rPr>
            </w:pPr>
            <w:r>
              <w:rPr>
                <w:rFonts w:eastAsia="Calibri" w:cs="Calibri" w:ascii="Gill Sans MT" w:hAnsi="Gill Sans MT"/>
                <w:color w:val="000000"/>
                <w:lang w:val="de-DE"/>
              </w:rPr>
              <w:t>Project goals and objectives</w:t>
            </w:r>
          </w:p>
          <w:p>
            <w:pPr>
              <w:pStyle w:val="Normal"/>
              <w:numPr>
                <w:ilvl w:val="0"/>
                <w:numId w:val="4"/>
              </w:numPr>
              <w:spacing w:lineRule="atLeast" w:line="23" w:before="120" w:after="0"/>
              <w:jc w:val="both"/>
              <w:rPr>
                <w:rFonts w:ascii="Gill Sans MT" w:hAnsi="Gill Sans MT" w:eastAsia="Calibri" w:cs="Times New Roman"/>
                <w:i/>
                <w:i/>
                <w:color w:val="000000"/>
                <w:lang w:val="de-DE"/>
              </w:rPr>
            </w:pPr>
            <w:r>
              <w:rPr>
                <w:rFonts w:eastAsia="Calibri" w:cs="Calibri" w:ascii="Gill Sans MT" w:hAnsi="Gill Sans MT"/>
                <w:color w:val="000000"/>
                <w:lang w:val="de-DE"/>
              </w:rPr>
              <w:t>Purpose of the roundtables</w:t>
            </w:r>
          </w:p>
        </w:tc>
      </w:tr>
      <w:tr>
        <w:trPr>
          <w:trHeight w:val="590" w:hRule="atLeast"/>
        </w:trPr>
        <w:tc>
          <w:tcPr>
            <w:tcW w:w="1687"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16.45 -17.00</w:t>
            </w:r>
          </w:p>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r>
          </w:p>
        </w:tc>
        <w:tc>
          <w:tcPr>
            <w:tcW w:w="7559"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 xml:space="preserve">Presentations of key study findings with emphasis on recommendations for governance </w:t>
            </w:r>
          </w:p>
        </w:tc>
      </w:tr>
      <w:tr>
        <w:trPr>
          <w:trHeight w:val="590" w:hRule="atLeast"/>
        </w:trPr>
        <w:tc>
          <w:tcPr>
            <w:tcW w:w="1687"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17.00 -17.20</w:t>
            </w:r>
          </w:p>
        </w:tc>
        <w:tc>
          <w:tcPr>
            <w:tcW w:w="7559"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rPr>
                <w:rFonts w:ascii="Gill Sans MT" w:hAnsi="Gill Sans MT" w:eastAsia="Calibri" w:cs="Calibri"/>
                <w:b/>
                <w:b/>
                <w:color w:val="000000"/>
              </w:rPr>
            </w:pPr>
            <w:r>
              <w:rPr>
                <w:rFonts w:eastAsia="Calibri" w:cs="Calibri" w:ascii="Gill Sans MT" w:hAnsi="Gill Sans MT"/>
                <w:b/>
                <w:color w:val="000000"/>
              </w:rPr>
              <w:t>Plenary Discussion</w:t>
            </w:r>
          </w:p>
          <w:p>
            <w:pPr>
              <w:pStyle w:val="Normal"/>
              <w:numPr>
                <w:ilvl w:val="0"/>
                <w:numId w:val="3"/>
              </w:numPr>
              <w:spacing w:lineRule="atLeast" w:line="23" w:before="120" w:after="0"/>
              <w:rPr>
                <w:rFonts w:ascii="Gill Sans MT" w:hAnsi="Gill Sans MT" w:eastAsia="Calibri" w:cs="Calibri"/>
                <w:i/>
                <w:i/>
                <w:color w:val="000000"/>
              </w:rPr>
            </w:pPr>
            <w:r>
              <w:rPr>
                <w:rFonts w:eastAsia="Calibri" w:cs="Calibri" w:ascii="Gill Sans MT" w:hAnsi="Gill Sans MT"/>
                <w:color w:val="000000"/>
              </w:rPr>
              <w:t>Feedback</w:t>
            </w:r>
          </w:p>
          <w:p>
            <w:pPr>
              <w:pStyle w:val="Normal"/>
              <w:numPr>
                <w:ilvl w:val="0"/>
                <w:numId w:val="3"/>
              </w:numPr>
              <w:spacing w:lineRule="atLeast" w:line="23" w:before="120" w:after="0"/>
              <w:rPr>
                <w:rFonts w:ascii="Gill Sans MT" w:hAnsi="Gill Sans MT" w:eastAsia="Calibri" w:cs="Calibri"/>
                <w:i/>
                <w:i/>
                <w:color w:val="000000"/>
              </w:rPr>
            </w:pPr>
            <w:r>
              <w:rPr>
                <w:rFonts w:eastAsia="Calibri" w:cs="Calibri" w:ascii="Gill Sans MT" w:hAnsi="Gill Sans MT"/>
                <w:color w:val="000000"/>
              </w:rPr>
              <w:t>Roadmap for plastic pollution governance – recommendations</w:t>
            </w:r>
          </w:p>
        </w:tc>
      </w:tr>
      <w:tr>
        <w:trPr>
          <w:trHeight w:val="590" w:hRule="atLeast"/>
        </w:trPr>
        <w:tc>
          <w:tcPr>
            <w:tcW w:w="1687"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17:20- 17:20</w:t>
            </w:r>
          </w:p>
        </w:tc>
        <w:tc>
          <w:tcPr>
            <w:tcW w:w="7559" w:type="dxa"/>
            <w:tcBorders>
              <w:top w:val="single" w:sz="18" w:space="0" w:color="FFFFFF"/>
              <w:left w:val="single" w:sz="18" w:space="0" w:color="FFFFFF"/>
              <w:bottom w:val="single" w:sz="18" w:space="0" w:color="FFFFFF"/>
              <w:right w:val="single" w:sz="18" w:space="0" w:color="FFFFFF"/>
            </w:tcBorders>
            <w:shd w:color="auto" w:fill="F2F2F2" w:val="clear"/>
          </w:tcPr>
          <w:p>
            <w:pPr>
              <w:pStyle w:val="Normal"/>
              <w:spacing w:lineRule="atLeast" w:line="23" w:before="120" w:after="0"/>
              <w:jc w:val="both"/>
              <w:rPr>
                <w:rFonts w:ascii="Gill Sans MT" w:hAnsi="Gill Sans MT" w:eastAsia="Calibri" w:cs="Calibri"/>
                <w:b/>
                <w:b/>
                <w:color w:val="000000"/>
                <w:lang w:val="de-DE"/>
              </w:rPr>
            </w:pPr>
            <w:r>
              <w:rPr>
                <w:rFonts w:eastAsia="Calibri" w:cs="Calibri" w:ascii="Gill Sans MT" w:hAnsi="Gill Sans MT"/>
                <w:b/>
                <w:color w:val="000000"/>
                <w:lang w:val="de-DE"/>
              </w:rPr>
              <w:t>Wrap-Up and Closing</w:t>
            </w:r>
          </w:p>
          <w:p>
            <w:pPr>
              <w:pStyle w:val="Normal"/>
              <w:numPr>
                <w:ilvl w:val="0"/>
                <w:numId w:val="5"/>
              </w:numPr>
              <w:spacing w:lineRule="atLeast" w:line="23" w:before="120" w:after="0"/>
              <w:jc w:val="both"/>
              <w:rPr>
                <w:rFonts w:ascii="Gill Sans MT" w:hAnsi="Gill Sans MT" w:eastAsia="Calibri" w:cs="Calibri"/>
                <w:color w:val="000000"/>
                <w:lang w:val="de-DE"/>
              </w:rPr>
            </w:pPr>
            <w:r>
              <w:rPr>
                <w:rFonts w:eastAsia="Calibri" w:cs="Calibri" w:ascii="Gill Sans MT" w:hAnsi="Gill Sans MT"/>
                <w:color w:val="000000"/>
                <w:lang w:val="de-DE"/>
              </w:rPr>
              <w:t>Next steps</w:t>
            </w:r>
          </w:p>
          <w:p>
            <w:pPr>
              <w:pStyle w:val="Normal"/>
              <w:numPr>
                <w:ilvl w:val="0"/>
                <w:numId w:val="5"/>
              </w:numPr>
              <w:spacing w:lineRule="atLeast" w:line="23" w:before="120" w:after="0"/>
              <w:jc w:val="both"/>
              <w:rPr>
                <w:rFonts w:ascii="Gill Sans MT" w:hAnsi="Gill Sans MT" w:eastAsia="Calibri" w:cs="Calibri"/>
                <w:color w:val="000000"/>
                <w:lang w:val="de-DE"/>
              </w:rPr>
            </w:pPr>
            <w:r>
              <w:rPr>
                <w:rFonts w:eastAsia="Calibri" w:cs="Calibri" w:ascii="Gill Sans MT" w:hAnsi="Gill Sans MT"/>
                <w:color w:val="000000"/>
                <w:lang w:val="de-DE"/>
              </w:rPr>
              <w:t>Closing remarks</w:t>
            </w:r>
          </w:p>
        </w:tc>
      </w:tr>
    </w:tbl>
    <w:p>
      <w:pPr>
        <w:pStyle w:val="Default"/>
        <w:spacing w:lineRule="atLeast" w:line="23" w:before="120" w:after="0"/>
        <w:jc w:val="both"/>
        <w:rPr>
          <w:rFonts w:ascii="Gill Sans MT" w:hAnsi="Gill Sans MT"/>
        </w:rPr>
      </w:pPr>
      <w:r>
        <w:rPr>
          <w:rFonts w:ascii="Gill Sans MT" w:hAnsi="Gill Sans MT"/>
        </w:rPr>
      </w:r>
    </w:p>
    <w:p>
      <w:pPr>
        <w:pStyle w:val="Normal"/>
        <w:spacing w:lineRule="atLeast" w:line="23" w:before="120" w:after="0"/>
        <w:rPr/>
      </w:pPr>
      <w:bookmarkStart w:id="3" w:name="_Hlk78724300"/>
      <w:r>
        <w:rPr/>
        <w:t xml:space="preserve"> </w:t>
      </w:r>
      <w:bookmarkEnd w:id="3"/>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Garamond">
    <w:charset w:val="01"/>
    <w:family w:val="swiss"/>
    <w:pitch w:val="default"/>
  </w:font>
  <w:font w:name="Times New Roman">
    <w:charset w:val="01"/>
    <w:family w:val="swiss"/>
    <w:pitch w:val="default"/>
  </w:font>
  <w:font w:name="Gill Sans MT">
    <w:charset w:val="01"/>
    <w:family w:val="swiss"/>
    <w:pitch w:val="default"/>
  </w:font>
  <w:font w:name="Noto Sans Symbols">
    <w:charset w:val="01"/>
    <w:family w:val="auto"/>
    <w:pitch w:val="variable"/>
  </w:font>
  <w:font w:name="Courier New">
    <w:charset w:val="01"/>
    <w:family w:val="auto"/>
    <w:pitch w:val="default"/>
  </w:font>
  <w:font w:name="Symbol">
    <w:charset w:val="02"/>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4">
          <wp:simplePos x="0" y="0"/>
          <wp:positionH relativeFrom="margin">
            <wp:align>center</wp:align>
          </wp:positionH>
          <wp:positionV relativeFrom="paragraph">
            <wp:posOffset>6985</wp:posOffset>
          </wp:positionV>
          <wp:extent cx="3998595" cy="1043305"/>
          <wp:effectExtent l="0" t="0" r="0" b="0"/>
          <wp:wrapSquare wrapText="larges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17" t="-65" r="-17" b="-65"/>
                  <a:stretch>
                    <a:fillRect/>
                  </a:stretch>
                </pic:blipFill>
                <pic:spPr bwMode="auto">
                  <a:xfrm>
                    <a:off x="0" y="0"/>
                    <a:ext cx="3998595" cy="1043305"/>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right"/>
      <w:pPr>
        <w:tabs>
          <w:tab w:val="num" w:pos="0"/>
        </w:tabs>
        <w:ind w:left="78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502"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rsid w:val="002c7251"/>
    <w:rPr>
      <w:color w:val="0000FF"/>
      <w:u w:val="single"/>
    </w:rPr>
  </w:style>
  <w:style w:type="character" w:styleId="HeaderChar" w:customStyle="1">
    <w:name w:val="Header Char"/>
    <w:basedOn w:val="DefaultParagraphFont"/>
    <w:link w:val="Header"/>
    <w:uiPriority w:val="99"/>
    <w:qFormat/>
    <w:rsid w:val="009d4a0b"/>
    <w:rPr/>
  </w:style>
  <w:style w:type="character" w:styleId="FooterChar" w:customStyle="1">
    <w:name w:val="Footer Char"/>
    <w:basedOn w:val="DefaultParagraphFont"/>
    <w:link w:val="Footer"/>
    <w:uiPriority w:val="99"/>
    <w:qFormat/>
    <w:rsid w:val="009d4a0b"/>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Lohit Devanagari"/>
    </w:rPr>
  </w:style>
  <w:style w:type="paragraph" w:styleId="Caption">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rPr>
  </w:style>
  <w:style w:type="paragraph" w:styleId="Default" w:customStyle="1">
    <w:name w:val="Default"/>
    <w:qFormat/>
    <w:rsid w:val="004e1fb6"/>
    <w:pPr>
      <w:widowControl/>
      <w:suppressAutoHyphens w:val="true"/>
      <w:bidi w:val="0"/>
      <w:spacing w:lineRule="auto" w:line="240" w:before="0" w:after="0"/>
      <w:jc w:val="left"/>
    </w:pPr>
    <w:rPr>
      <w:rFonts w:ascii="Garamond" w:hAnsi="Garamond" w:eastAsia="Calibri" w:cs="Garamond"/>
      <w:color w:val="000000"/>
      <w:kern w:val="0"/>
      <w:sz w:val="24"/>
      <w:szCs w:val="24"/>
      <w:lang w:val="en-US" w:eastAsia="en-US" w:bidi="ar-SA"/>
    </w:rPr>
  </w:style>
  <w:style w:type="paragraph" w:styleId="ListParagraph">
    <w:name w:val="List Paragraph"/>
    <w:basedOn w:val="Normal"/>
    <w:uiPriority w:val="34"/>
    <w:qFormat/>
    <w:rsid w:val="006a6ee4"/>
    <w:pPr>
      <w:spacing w:lineRule="auto" w:line="276" w:before="0" w:after="200"/>
      <w:ind w:left="720" w:hanging="0"/>
      <w:contextualSpacing/>
    </w:pPr>
    <w:rPr>
      <w:lang w:val="en-US"/>
    </w:rPr>
  </w:style>
  <w:style w:type="paragraph" w:styleId="NormalWeb">
    <w:name w:val="Normal (Web)"/>
    <w:basedOn w:val="Normal"/>
    <w:uiPriority w:val="99"/>
    <w:unhideWhenUsed/>
    <w:qFormat/>
    <w:rsid w:val="002c7251"/>
    <w:pPr>
      <w:spacing w:lineRule="auto" w:line="240" w:beforeAutospacing="1" w:afterAutospacing="1"/>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9d4a0b"/>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d4a0b"/>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2342d"/>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LibreOffice/6.4.6.2$Linux_X86_64 LibreOffice_project/40$Build-2</Application>
  <Pages>3</Pages>
  <Words>396</Words>
  <Characters>2486</Characters>
  <CharactersWithSpaces>2834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2021-08-01T13:12:00Z</dcterms:created>
  <dc:creator>oremo2007@hotmail.com</dc:creator>
  <dc:description/>
  <dc:language>en-GB</dc:language>
  <cp:lastModifiedBy/>
  <dcterms:modified xsi:type="dcterms:W3CDTF">2021-10-06T14:41:41Z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